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44A143B4"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F3C61">
        <w:rPr>
          <w:rFonts w:ascii="Arial" w:hAnsi="Arial" w:cs="Arial"/>
          <w:b/>
          <w:sz w:val="24"/>
        </w:rPr>
        <w:t>6</w:t>
      </w:r>
      <w:r w:rsidR="00E65976">
        <w:rPr>
          <w:rFonts w:ascii="Arial" w:hAnsi="Arial" w:cs="Arial"/>
          <w:b/>
          <w:sz w:val="24"/>
        </w:rPr>
        <w:t>bis</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E65976" w:rsidRPr="00E65976">
        <w:rPr>
          <w:rFonts w:ascii="Arial" w:hAnsi="Arial" w:cs="Arial"/>
          <w:b/>
          <w:sz w:val="24"/>
        </w:rPr>
        <w:t>R1-2109647</w:t>
      </w:r>
      <w:r w:rsidR="00F23B98" w:rsidRPr="00F23B98">
        <w:rPr>
          <w:rFonts w:ascii="Arial" w:hAnsi="Arial" w:cs="Arial"/>
          <w:b/>
          <w:sz w:val="24"/>
        </w:rPr>
        <w:t xml:space="preserve"> </w:t>
      </w:r>
    </w:p>
    <w:p w14:paraId="44246AEB" w14:textId="1BD99BA8" w:rsidR="001F3C61" w:rsidRDefault="00817A04" w:rsidP="001F3C61">
      <w:pPr>
        <w:spacing w:after="0"/>
        <w:ind w:left="1988" w:hanging="1988"/>
        <w:rPr>
          <w:rFonts w:ascii="Arial" w:hAnsi="Arial" w:cs="Arial"/>
          <w:b/>
          <w:sz w:val="24"/>
        </w:rPr>
      </w:pPr>
      <w:r w:rsidRPr="00817A04">
        <w:rPr>
          <w:rFonts w:ascii="Arial" w:hAnsi="Arial" w:cs="Arial"/>
          <w:b/>
          <w:sz w:val="24"/>
        </w:rPr>
        <w:t>e-Meeting, October 11</w:t>
      </w:r>
      <w:r w:rsidRPr="00C26C19">
        <w:rPr>
          <w:rFonts w:ascii="Arial" w:hAnsi="Arial" w:cs="Arial"/>
          <w:b/>
          <w:sz w:val="24"/>
          <w:vertAlign w:val="superscript"/>
        </w:rPr>
        <w:t>th</w:t>
      </w:r>
      <w:r w:rsidRPr="00817A04">
        <w:rPr>
          <w:rFonts w:ascii="Arial" w:hAnsi="Arial" w:cs="Arial"/>
          <w:b/>
          <w:sz w:val="24"/>
        </w:rPr>
        <w:t xml:space="preserve"> – October 19</w:t>
      </w:r>
      <w:r w:rsidRPr="00C26C19">
        <w:rPr>
          <w:rFonts w:ascii="Arial" w:hAnsi="Arial" w:cs="Arial"/>
          <w:b/>
          <w:sz w:val="24"/>
          <w:vertAlign w:val="superscript"/>
        </w:rPr>
        <w:t>th</w:t>
      </w:r>
      <w:r w:rsidRPr="00817A04">
        <w:rPr>
          <w:rFonts w:ascii="Arial" w:hAnsi="Arial" w:cs="Arial"/>
          <w:b/>
          <w:sz w:val="24"/>
        </w:rPr>
        <w:t>,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57454F6"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D222EE" w:rsidRPr="00D222EE">
        <w:rPr>
          <w:rFonts w:ascii="Arial" w:hAnsi="Arial" w:cs="Arial"/>
          <w:b/>
          <w:sz w:val="24"/>
        </w:rPr>
        <w:t>On UE features for RedCap</w:t>
      </w:r>
    </w:p>
    <w:p w14:paraId="7ED02BDB" w14:textId="18E1B25B"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D222EE">
        <w:rPr>
          <w:rFonts w:ascii="Arial" w:hAnsi="Arial" w:cs="Arial"/>
          <w:b/>
          <w:sz w:val="24"/>
        </w:rPr>
        <w:t>17.</w:t>
      </w:r>
      <w:r w:rsidR="00B1243C">
        <w:rPr>
          <w:rFonts w:ascii="Arial" w:hAnsi="Arial" w:cs="Arial"/>
          <w:b/>
          <w:sz w:val="24"/>
        </w:rPr>
        <w:t>6</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2A69BAA6" w14:textId="5E9B9DBE" w:rsidR="00F23B98" w:rsidRPr="00254915" w:rsidRDefault="00D8176C" w:rsidP="00EA006F">
      <w:r w:rsidRPr="00254915">
        <w:t xml:space="preserve">In this </w:t>
      </w:r>
      <w:r w:rsidR="00852F00" w:rsidRPr="00254915">
        <w:t>contribution</w:t>
      </w:r>
      <w:r w:rsidRPr="00254915">
        <w:t xml:space="preserve">, </w:t>
      </w:r>
      <w:r w:rsidR="0020334F">
        <w:t xml:space="preserve">we present our views on </w:t>
      </w:r>
      <w:r w:rsidR="00993C9C">
        <w:t>defining</w:t>
      </w:r>
      <w:r w:rsidR="00522118">
        <w:t xml:space="preserve"> </w:t>
      </w:r>
      <w:r w:rsidR="001A4DE7">
        <w:t>UE capabilities</w:t>
      </w:r>
      <w:r w:rsidR="00993C9C">
        <w:t xml:space="preserve"> </w:t>
      </w:r>
      <w:r w:rsidR="00BB7465">
        <w:t xml:space="preserve">for RedCap UEs </w:t>
      </w:r>
      <w:r w:rsidR="00993C9C">
        <w:t>and</w:t>
      </w:r>
      <w:r w:rsidR="00BB7465">
        <w:t xml:space="preserve"> on the</w:t>
      </w:r>
      <w:r w:rsidR="00993C9C">
        <w:t xml:space="preserve"> support of various optional/mandatory Rel-15/16</w:t>
      </w:r>
      <w:r w:rsidR="001A4DE7">
        <w:t xml:space="preserve"> </w:t>
      </w:r>
      <w:r w:rsidR="00993C9C">
        <w:t xml:space="preserve">features </w:t>
      </w:r>
      <w:r w:rsidR="00BB7465">
        <w:t>by</w:t>
      </w:r>
      <w:r w:rsidR="00522118">
        <w:t xml:space="preserve"> RedCap</w:t>
      </w:r>
      <w:r w:rsidR="00BB7465">
        <w:t xml:space="preserve"> devices</w:t>
      </w:r>
      <w:r w:rsidR="00A76A4E" w:rsidRPr="00254915">
        <w:t xml:space="preserve">. </w:t>
      </w:r>
    </w:p>
    <w:p w14:paraId="666D7F01" w14:textId="77777777" w:rsidR="00EE4E7A" w:rsidRDefault="00EE4E7A" w:rsidP="00EE4E7A">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UE capabilities and supported features for RedCap</w:t>
      </w:r>
    </w:p>
    <w:p w14:paraId="01AA260D" w14:textId="5910C12F" w:rsidR="00FC3813" w:rsidRDefault="00FC3813" w:rsidP="00EE4E7A">
      <w:r>
        <w:t xml:space="preserve">A preliminary list of new UE features relevant for Rel-17 RedCap was provided in </w:t>
      </w:r>
      <w:r>
        <w:fldChar w:fldCharType="begin"/>
      </w:r>
      <w:r>
        <w:instrText xml:space="preserve"> REF _Ref84010574 \r \h </w:instrText>
      </w:r>
      <w:r>
        <w:fldChar w:fldCharType="separate"/>
      </w:r>
      <w:r>
        <w:t>[1]</w:t>
      </w:r>
      <w:r>
        <w:fldChar w:fldCharType="end"/>
      </w:r>
      <w:r>
        <w:t xml:space="preserve">. The relevant FGs (#28-x family) are quoted </w:t>
      </w:r>
      <w:r w:rsidR="00363D90">
        <w:t xml:space="preserve">from </w:t>
      </w:r>
      <w:r w:rsidR="00363D90">
        <w:fldChar w:fldCharType="begin"/>
      </w:r>
      <w:r w:rsidR="00363D90">
        <w:instrText xml:space="preserve"> REF _Ref84010574 \r \h </w:instrText>
      </w:r>
      <w:r w:rsidR="00363D90">
        <w:fldChar w:fldCharType="separate"/>
      </w:r>
      <w:r w:rsidR="00363D90">
        <w:t>[1]</w:t>
      </w:r>
      <w:r w:rsidR="00363D90">
        <w:fldChar w:fldCharType="end"/>
      </w:r>
      <w:r w:rsidR="00363D90">
        <w:t xml:space="preserve"> in Appendix A.</w:t>
      </w:r>
    </w:p>
    <w:p w14:paraId="5FB3FC99" w14:textId="46487ACB" w:rsidR="00FC3813" w:rsidRDefault="00A30A16" w:rsidP="00EE4E7A">
      <w:r>
        <w:t xml:space="preserve">For </w:t>
      </w:r>
      <w:r w:rsidR="004E7548">
        <w:t xml:space="preserve">some of </w:t>
      </w:r>
      <w:r>
        <w:t>the FGs #28-x identified so far</w:t>
      </w:r>
      <w:r w:rsidR="0009167E">
        <w:t xml:space="preserve">, the </w:t>
      </w:r>
      <w:r w:rsidR="004E7548">
        <w:t>FG type can be confirmed as “per band”, with exception of FG #28-1 which is per UE.</w:t>
      </w:r>
    </w:p>
    <w:p w14:paraId="0749A36F" w14:textId="162B170D" w:rsidR="00E10FB8" w:rsidRPr="006F103D" w:rsidRDefault="00E10FB8" w:rsidP="00E10FB8">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1</w:t>
      </w:r>
      <w:r w:rsidRPr="006F103D">
        <w:rPr>
          <w:b/>
          <w:bCs/>
          <w:lang w:eastAsia="x-none"/>
        </w:rPr>
        <w:t>:</w:t>
      </w:r>
    </w:p>
    <w:p w14:paraId="2F0F987D" w14:textId="627C8245" w:rsidR="00E10FB8" w:rsidRDefault="00842458" w:rsidP="00E10FB8">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Confirm t</w:t>
      </w:r>
      <w:r w:rsidR="00157B95">
        <w:rPr>
          <w:i/>
          <w:iCs/>
          <w:lang w:eastAsia="x-none"/>
        </w:rPr>
        <w:t xml:space="preserve">he type for the following </w:t>
      </w:r>
      <w:r>
        <w:rPr>
          <w:i/>
          <w:iCs/>
          <w:lang w:eastAsia="x-none"/>
        </w:rPr>
        <w:t xml:space="preserve">Rel-17 </w:t>
      </w:r>
      <w:r w:rsidR="00157B95">
        <w:rPr>
          <w:i/>
          <w:iCs/>
          <w:lang w:eastAsia="x-none"/>
        </w:rPr>
        <w:t xml:space="preserve">FGs </w:t>
      </w:r>
      <w:r>
        <w:rPr>
          <w:i/>
          <w:iCs/>
          <w:lang w:eastAsia="x-none"/>
        </w:rPr>
        <w:t xml:space="preserve">for RedCap </w:t>
      </w:r>
      <w:r w:rsidR="00157B95">
        <w:rPr>
          <w:i/>
          <w:iCs/>
          <w:lang w:eastAsia="x-none"/>
        </w:rPr>
        <w:t>as “per band”:</w:t>
      </w:r>
    </w:p>
    <w:p w14:paraId="3373CA47" w14:textId="7441DA5B" w:rsidR="00157B95" w:rsidRPr="00157B95" w:rsidRDefault="00157B95" w:rsidP="008929DF">
      <w:pPr>
        <w:pStyle w:val="ListParagraph"/>
        <w:numPr>
          <w:ilvl w:val="1"/>
          <w:numId w:val="20"/>
        </w:numPr>
        <w:ind w:left="1080"/>
        <w:rPr>
          <w:i/>
          <w:iCs/>
        </w:rPr>
      </w:pPr>
      <w:r w:rsidRPr="00157B95">
        <w:rPr>
          <w:i/>
          <w:iCs/>
        </w:rPr>
        <w:t>FG</w:t>
      </w:r>
      <w:r w:rsidR="008929DF">
        <w:rPr>
          <w:i/>
          <w:iCs/>
        </w:rPr>
        <w:t>s</w:t>
      </w:r>
      <w:r w:rsidRPr="00157B95">
        <w:rPr>
          <w:i/>
          <w:iCs/>
        </w:rPr>
        <w:t xml:space="preserve"> </w:t>
      </w:r>
      <w:r w:rsidR="008929DF">
        <w:rPr>
          <w:i/>
          <w:iCs/>
        </w:rPr>
        <w:t>#28-2, 28-3, 28-4, 28-5</w:t>
      </w:r>
      <w:r w:rsidR="00842458">
        <w:rPr>
          <w:i/>
          <w:iCs/>
        </w:rPr>
        <w:t>.</w:t>
      </w:r>
    </w:p>
    <w:p w14:paraId="131E8D9A" w14:textId="77777777" w:rsidR="00842458" w:rsidRDefault="00842458" w:rsidP="00EE4E7A"/>
    <w:p w14:paraId="11AE320B" w14:textId="08F75257" w:rsidR="00EE4E7A" w:rsidRDefault="00EE4E7A" w:rsidP="00EE4E7A">
      <w:r>
        <w:t>On defining UE capabilities for RedCap, RAN2 has made the following decision:</w:t>
      </w:r>
    </w:p>
    <w:tbl>
      <w:tblPr>
        <w:tblStyle w:val="TableGrid"/>
        <w:tblW w:w="0" w:type="auto"/>
        <w:tblLook w:val="04A0" w:firstRow="1" w:lastRow="0" w:firstColumn="1" w:lastColumn="0" w:noHBand="0" w:noVBand="1"/>
      </w:tblPr>
      <w:tblGrid>
        <w:gridCol w:w="9350"/>
      </w:tblGrid>
      <w:tr w:rsidR="00EE4E7A" w14:paraId="59CD7B0D" w14:textId="77777777" w:rsidTr="003D65B4">
        <w:tc>
          <w:tcPr>
            <w:tcW w:w="9350" w:type="dxa"/>
          </w:tcPr>
          <w:p w14:paraId="62C279F4" w14:textId="77777777" w:rsidR="00EE4E7A" w:rsidRPr="00FF51F2" w:rsidRDefault="00EE4E7A" w:rsidP="003D65B4">
            <w:pPr>
              <w:pStyle w:val="Doc-text2"/>
              <w:numPr>
                <w:ilvl w:val="0"/>
                <w:numId w:val="16"/>
              </w:numPr>
            </w:pPr>
            <w:r>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tc>
      </w:tr>
    </w:tbl>
    <w:p w14:paraId="3AF693C4" w14:textId="77777777" w:rsidR="00EE4E7A" w:rsidRDefault="00EE4E7A" w:rsidP="00EE4E7A"/>
    <w:p w14:paraId="208F8B37" w14:textId="449D4189" w:rsidR="00EE4E7A" w:rsidRDefault="00EE4E7A" w:rsidP="00EE4E7A">
      <w:r>
        <w:t xml:space="preserve">Then, during RAN1 #106-e meeting, the following was agreed </w:t>
      </w:r>
      <w:r w:rsidR="00B81BD8">
        <w:fldChar w:fldCharType="begin"/>
      </w:r>
      <w:r w:rsidR="00B81BD8">
        <w:instrText xml:space="preserve"> REF _Ref84002819 \r \h </w:instrText>
      </w:r>
      <w:r w:rsidR="00B81BD8">
        <w:fldChar w:fldCharType="separate"/>
      </w:r>
      <w:r w:rsidR="00B81BD8">
        <w:t>[2]</w:t>
      </w:r>
      <w:r w:rsidR="00B81BD8">
        <w:fldChar w:fldCharType="end"/>
      </w:r>
      <w:r>
        <w:t>:</w:t>
      </w:r>
    </w:p>
    <w:tbl>
      <w:tblPr>
        <w:tblStyle w:val="TableGrid"/>
        <w:tblW w:w="0" w:type="auto"/>
        <w:tblLook w:val="04A0" w:firstRow="1" w:lastRow="0" w:firstColumn="1" w:lastColumn="0" w:noHBand="0" w:noVBand="1"/>
      </w:tblPr>
      <w:tblGrid>
        <w:gridCol w:w="9350"/>
      </w:tblGrid>
      <w:tr w:rsidR="00EE4E7A" w14:paraId="6F488B32" w14:textId="77777777" w:rsidTr="003D65B4">
        <w:tc>
          <w:tcPr>
            <w:tcW w:w="9350" w:type="dxa"/>
          </w:tcPr>
          <w:p w14:paraId="3DDC7B9F" w14:textId="77777777" w:rsidR="00EE4E7A" w:rsidRPr="00985BF8" w:rsidRDefault="00EE4E7A" w:rsidP="003D65B4">
            <w:pPr>
              <w:shd w:val="clear" w:color="auto" w:fill="FFFFFF"/>
              <w:spacing w:after="180" w:line="231" w:lineRule="atLeast"/>
              <w:rPr>
                <w:rFonts w:ascii="Calibri" w:hAnsi="Calibri" w:cs="Calibri"/>
                <w:i/>
                <w:iCs/>
                <w:color w:val="000000"/>
                <w:sz w:val="22"/>
                <w:szCs w:val="22"/>
                <w:highlight w:val="green"/>
              </w:rPr>
            </w:pPr>
            <w:r w:rsidRPr="00985BF8">
              <w:rPr>
                <w:b/>
                <w:bCs/>
                <w:i/>
                <w:iCs/>
                <w:color w:val="000000"/>
                <w:highlight w:val="green"/>
                <w:shd w:val="clear" w:color="auto" w:fill="00FFFF"/>
              </w:rPr>
              <w:t>Agreement</w:t>
            </w:r>
          </w:p>
          <w:p w14:paraId="4E7F56E8" w14:textId="77777777" w:rsidR="00EE4E7A" w:rsidRPr="00985BF8" w:rsidRDefault="00EE4E7A" w:rsidP="00EE4E7A">
            <w:pPr>
              <w:numPr>
                <w:ilvl w:val="0"/>
                <w:numId w:val="23"/>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For the RedCap UE capabilities, current definition of Rel-15/16 L1 UE capabilities mandatory without capability signalling in TR38.822 is reused by default, unless any update is agreed</w:t>
            </w:r>
          </w:p>
          <w:p w14:paraId="0635DB73" w14:textId="77777777" w:rsidR="00EE4E7A" w:rsidRPr="00985BF8" w:rsidRDefault="00EE4E7A" w:rsidP="00EE4E7A">
            <w:pPr>
              <w:numPr>
                <w:ilvl w:val="1"/>
                <w:numId w:val="23"/>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Note: UE capabilities related to CA, DC and wider max UE bandwidth are not applicable to RedCap UEs</w:t>
            </w:r>
          </w:p>
          <w:p w14:paraId="5B308419" w14:textId="77777777" w:rsidR="00EE4E7A" w:rsidRPr="00C76945" w:rsidRDefault="00EE4E7A" w:rsidP="00EE4E7A">
            <w:pPr>
              <w:numPr>
                <w:ilvl w:val="1"/>
                <w:numId w:val="23"/>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FFS: whether any L1 UE capabilities mandatory/optional with capability signalling are not applicable to RedCap UEs</w:t>
            </w:r>
          </w:p>
        </w:tc>
      </w:tr>
    </w:tbl>
    <w:p w14:paraId="4D10EE61" w14:textId="77777777" w:rsidR="00EE4E7A" w:rsidRDefault="00EE4E7A" w:rsidP="00EE4E7A"/>
    <w:p w14:paraId="1D95EAC3" w14:textId="5272C4EF" w:rsidR="00EE4E7A" w:rsidRDefault="00EE4E7A" w:rsidP="00EE4E7A">
      <w:r>
        <w:t xml:space="preserve">Subsequently, RAN1 received the following information via an LS from RAN2 </w:t>
      </w:r>
      <w:r w:rsidR="00B81BD8">
        <w:fldChar w:fldCharType="begin"/>
      </w:r>
      <w:r w:rsidR="00B81BD8">
        <w:instrText xml:space="preserve"> REF _Ref84010662 \r \h </w:instrText>
      </w:r>
      <w:r w:rsidR="00B81BD8">
        <w:fldChar w:fldCharType="separate"/>
      </w:r>
      <w:r w:rsidR="00B81BD8">
        <w:t>[3]</w:t>
      </w:r>
      <w:r w:rsidR="00B81BD8">
        <w:fldChar w:fldCharType="end"/>
      </w:r>
      <w:r>
        <w:t>:</w:t>
      </w:r>
    </w:p>
    <w:tbl>
      <w:tblPr>
        <w:tblStyle w:val="TableGrid"/>
        <w:tblW w:w="0" w:type="auto"/>
        <w:tblLook w:val="04A0" w:firstRow="1" w:lastRow="0" w:firstColumn="1" w:lastColumn="0" w:noHBand="0" w:noVBand="1"/>
      </w:tblPr>
      <w:tblGrid>
        <w:gridCol w:w="9350"/>
      </w:tblGrid>
      <w:tr w:rsidR="00EE4E7A" w:rsidRPr="00783458" w14:paraId="25E43521" w14:textId="77777777" w:rsidTr="003D65B4">
        <w:tc>
          <w:tcPr>
            <w:tcW w:w="9350" w:type="dxa"/>
          </w:tcPr>
          <w:p w14:paraId="1B5C076B" w14:textId="77777777" w:rsidR="00EE4E7A" w:rsidRPr="00783458" w:rsidRDefault="00EE4E7A" w:rsidP="003D65B4">
            <w:pPr>
              <w:pStyle w:val="Heading1"/>
              <w:outlineLvl w:val="0"/>
              <w:rPr>
                <w:i/>
                <w:iCs/>
              </w:rPr>
            </w:pPr>
            <w:r w:rsidRPr="00783458">
              <w:rPr>
                <w:i/>
                <w:iCs/>
              </w:rPr>
              <w:lastRenderedPageBreak/>
              <w:t>1</w:t>
            </w:r>
            <w:r w:rsidRPr="00783458">
              <w:rPr>
                <w:i/>
                <w:iCs/>
              </w:rPr>
              <w:tab/>
              <w:t>Overall description</w:t>
            </w:r>
          </w:p>
          <w:p w14:paraId="34955FC6" w14:textId="77777777" w:rsidR="00EE4E7A" w:rsidRPr="00783458" w:rsidRDefault="00EE4E7A" w:rsidP="003D65B4">
            <w:pPr>
              <w:spacing w:after="160" w:line="252" w:lineRule="auto"/>
              <w:rPr>
                <w:rFonts w:ascii="Arial" w:eastAsia="Calibri" w:hAnsi="Arial" w:cs="Arial"/>
                <w:i/>
                <w:iCs/>
              </w:rPr>
            </w:pPr>
            <w:r w:rsidRPr="00783458">
              <w:rPr>
                <w:rFonts w:ascii="Arial" w:eastAsia="Calibri" w:hAnsi="Arial" w:cs="Arial"/>
                <w:i/>
                <w:iCs/>
              </w:rPr>
              <w:t xml:space="preserve">RAN2 has discussed the objective for framework for reduced capabilities in RAN2#114-e and RAN2#115-e and would like to inform RAN1 and RAN4 about the following agreements related to UE capabilities:  </w:t>
            </w:r>
          </w:p>
          <w:p w14:paraId="618808D8" w14:textId="77777777" w:rsidR="00EE4E7A" w:rsidRPr="00783458" w:rsidRDefault="00EE4E7A" w:rsidP="003D65B4">
            <w:pPr>
              <w:spacing w:after="160" w:line="252" w:lineRule="auto"/>
              <w:rPr>
                <w:rFonts w:ascii="Arial" w:eastAsia="Calibri" w:hAnsi="Arial" w:cs="Arial"/>
                <w:i/>
                <w:iCs/>
              </w:rPr>
            </w:pPr>
            <w:r w:rsidRPr="00783458">
              <w:rPr>
                <w:rFonts w:ascii="Arial" w:eastAsia="Calibri" w:hAnsi="Arial" w:cs="Arial"/>
                <w:i/>
                <w:iCs/>
              </w:rPr>
              <w:t>RAN2#114-e:</w:t>
            </w:r>
          </w:p>
          <w:tbl>
            <w:tblPr>
              <w:tblStyle w:val="TableGrid"/>
              <w:tblW w:w="0" w:type="auto"/>
              <w:tblLook w:val="04A0" w:firstRow="1" w:lastRow="0" w:firstColumn="1" w:lastColumn="0" w:noHBand="0" w:noVBand="1"/>
            </w:tblPr>
            <w:tblGrid>
              <w:gridCol w:w="9124"/>
            </w:tblGrid>
            <w:tr w:rsidR="00EE4E7A" w:rsidRPr="00783458" w14:paraId="7E5A9FA6" w14:textId="77777777" w:rsidTr="003D65B4">
              <w:tc>
                <w:tcPr>
                  <w:tcW w:w="9855" w:type="dxa"/>
                </w:tcPr>
                <w:p w14:paraId="3AC81F1C" w14:textId="77777777" w:rsidR="00EE4E7A" w:rsidRPr="00783458" w:rsidRDefault="00EE4E7A" w:rsidP="003D65B4">
                  <w:pPr>
                    <w:spacing w:after="0"/>
                    <w:rPr>
                      <w:rFonts w:ascii="Arial" w:eastAsia="Calibri" w:hAnsi="Arial" w:cs="Arial"/>
                      <w:i/>
                      <w:iCs/>
                    </w:rPr>
                  </w:pPr>
                  <w:r w:rsidRPr="00783458">
                    <w:rPr>
                      <w:rFonts w:ascii="Arial" w:eastAsia="Calibri" w:hAnsi="Arial" w:cs="Arial"/>
                      <w:i/>
                      <w:iCs/>
                    </w:rPr>
                    <w:t xml:space="preserve">Agreements online: </w:t>
                  </w:r>
                </w:p>
                <w:p w14:paraId="2A5E4A71" w14:textId="77777777" w:rsidR="00EE4E7A" w:rsidRPr="00783458" w:rsidRDefault="00EE4E7A" w:rsidP="003D65B4">
                  <w:pPr>
                    <w:spacing w:after="0"/>
                    <w:rPr>
                      <w:rFonts w:ascii="Arial" w:eastAsia="Calibri" w:hAnsi="Arial" w:cs="Arial"/>
                      <w:i/>
                      <w:iCs/>
                    </w:rPr>
                  </w:pPr>
                  <w:r w:rsidRPr="00783458">
                    <w:rPr>
                      <w:rFonts w:ascii="Arial" w:eastAsia="Calibri" w:hAnsi="Arial" w:cs="Arial"/>
                      <w:i/>
                      <w:iCs/>
                    </w:rPr>
                    <w:t>1.</w:t>
                  </w:r>
                  <w:r w:rsidRPr="00783458">
                    <w:rPr>
                      <w:rFonts w:ascii="Arial" w:eastAsia="Calibri" w:hAnsi="Arial" w:cs="Arial"/>
                      <w:i/>
                      <w:iCs/>
                    </w:rPr>
                    <w:tab/>
                    <w:t xml:space="preserve">RAN2 Working Assumption: by default, all non-RedCap UE capabilities are applicable for RedCap </w:t>
                  </w:r>
                  <w:r w:rsidRPr="00783458">
                    <w:rPr>
                      <w:rFonts w:ascii="Arial" w:eastAsia="Calibri" w:hAnsi="Arial" w:cs="Arial"/>
                      <w:i/>
                      <w:iCs/>
                    </w:rPr>
                    <w:tab/>
                    <w:t xml:space="preserve">UE, and therefore only for non-RedCap capabilities that are not appliable for RedCap UE, we clarify </w:t>
                  </w:r>
                  <w:r w:rsidRPr="00783458">
                    <w:rPr>
                      <w:rFonts w:ascii="Arial" w:eastAsia="Calibri" w:hAnsi="Arial" w:cs="Arial"/>
                      <w:i/>
                      <w:iCs/>
                    </w:rPr>
                    <w:tab/>
                    <w:t>in the definitions for parameters in TS38.306, the value or feature is not applicable for RedCap UE</w:t>
                  </w:r>
                </w:p>
              </w:tc>
            </w:tr>
          </w:tbl>
          <w:p w14:paraId="75AB91E5" w14:textId="77777777" w:rsidR="00EE4E7A" w:rsidRPr="00783458" w:rsidRDefault="00EE4E7A" w:rsidP="003D65B4">
            <w:pPr>
              <w:spacing w:after="160" w:line="252" w:lineRule="auto"/>
              <w:rPr>
                <w:rFonts w:ascii="Arial" w:eastAsia="Calibri" w:hAnsi="Arial" w:cs="Arial"/>
                <w:i/>
                <w:iCs/>
              </w:rPr>
            </w:pPr>
          </w:p>
          <w:p w14:paraId="5209024A" w14:textId="77777777" w:rsidR="00EE4E7A" w:rsidRPr="00783458" w:rsidRDefault="00EE4E7A" w:rsidP="003D65B4">
            <w:pPr>
              <w:spacing w:after="160" w:line="252" w:lineRule="auto"/>
              <w:rPr>
                <w:rFonts w:ascii="Arial" w:eastAsia="Calibri" w:hAnsi="Arial" w:cs="Arial"/>
                <w:i/>
                <w:iCs/>
              </w:rPr>
            </w:pPr>
            <w:r w:rsidRPr="00783458">
              <w:rPr>
                <w:rFonts w:ascii="Arial" w:eastAsia="Calibri" w:hAnsi="Arial" w:cs="Arial"/>
                <w:i/>
                <w:iCs/>
              </w:rPr>
              <w:t>RAN2#115-e:</w:t>
            </w:r>
          </w:p>
          <w:tbl>
            <w:tblPr>
              <w:tblStyle w:val="TableGrid"/>
              <w:tblW w:w="0" w:type="auto"/>
              <w:tblLook w:val="04A0" w:firstRow="1" w:lastRow="0" w:firstColumn="1" w:lastColumn="0" w:noHBand="0" w:noVBand="1"/>
            </w:tblPr>
            <w:tblGrid>
              <w:gridCol w:w="9124"/>
            </w:tblGrid>
            <w:tr w:rsidR="00EE4E7A" w:rsidRPr="00783458" w14:paraId="26084E21" w14:textId="77777777" w:rsidTr="003D65B4">
              <w:tc>
                <w:tcPr>
                  <w:tcW w:w="9855" w:type="dxa"/>
                </w:tcPr>
                <w:p w14:paraId="3EA9B3B7"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Agreements:</w:t>
                  </w:r>
                </w:p>
                <w:p w14:paraId="0F603D5D"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1.</w:t>
                  </w:r>
                  <w:r w:rsidRPr="00783458">
                    <w:rPr>
                      <w:rFonts w:ascii="Arial" w:hAnsi="Arial" w:cs="Arial"/>
                      <w:i/>
                      <w:iCs/>
                    </w:rPr>
                    <w:tab/>
                    <w:t xml:space="preserve">The number of DRBs supported by RedCap UEs is less than legacy value (which is 16). There will </w:t>
                  </w:r>
                  <w:r w:rsidRPr="00783458">
                    <w:rPr>
                      <w:rFonts w:ascii="Arial" w:hAnsi="Arial" w:cs="Arial"/>
                      <w:i/>
                      <w:iCs/>
                    </w:rPr>
                    <w:tab/>
                    <w:t>be a single mandatory value (FFS if 4 or 8). FFS if it will be possible to have an optional capability</w:t>
                  </w:r>
                </w:p>
                <w:p w14:paraId="7A1ED001"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2.</w:t>
                  </w:r>
                  <w:r w:rsidRPr="00783458">
                    <w:rPr>
                      <w:rFonts w:ascii="Arial" w:hAnsi="Arial" w:cs="Arial"/>
                      <w:i/>
                      <w:iCs/>
                    </w:rPr>
                    <w:tab/>
                    <w:t>“RRC processing delay” is not relaxed for RedCap UE</w:t>
                  </w:r>
                </w:p>
                <w:p w14:paraId="0B1EB18D"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3.</w:t>
                  </w:r>
                  <w:r w:rsidRPr="00783458">
                    <w:rPr>
                      <w:rFonts w:ascii="Arial" w:hAnsi="Arial" w:cs="Arial"/>
                      <w:i/>
                      <w:iCs/>
                    </w:rPr>
                    <w:tab/>
                    <w:t xml:space="preserve">PDCP/RLC AM 12 bits SN is mandatory for RedCap UE, and PDCP/RLC AM 18bits SN is optional </w:t>
                  </w:r>
                  <w:r w:rsidRPr="00783458">
                    <w:rPr>
                      <w:rFonts w:ascii="Arial" w:hAnsi="Arial" w:cs="Arial"/>
                      <w:i/>
                      <w:iCs/>
                    </w:rPr>
                    <w:tab/>
                    <w:t>supported by RedCap UE; FFS on how to capture this in specification</w:t>
                  </w:r>
                </w:p>
                <w:p w14:paraId="338E1303"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4.</w:t>
                  </w:r>
                  <w:r w:rsidRPr="00783458">
                    <w:rPr>
                      <w:rFonts w:ascii="Arial" w:hAnsi="Arial" w:cs="Arial"/>
                      <w:i/>
                      <w:iCs/>
                    </w:rPr>
                    <w:tab/>
                    <w:t xml:space="preserve">NE-DC, and (NG)EN-DC are not supported by RedCap UE; FFS on how to capture it in the </w:t>
                  </w:r>
                  <w:r w:rsidRPr="00783458">
                    <w:rPr>
                      <w:rFonts w:ascii="Arial" w:hAnsi="Arial" w:cs="Arial"/>
                      <w:i/>
                      <w:iCs/>
                    </w:rPr>
                    <w:tab/>
                    <w:t>specification[</w:t>
                  </w:r>
                </w:p>
                <w:p w14:paraId="6C7C3B0B"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5.</w:t>
                  </w:r>
                  <w:r w:rsidRPr="00783458">
                    <w:rPr>
                      <w:rFonts w:ascii="Arial" w:hAnsi="Arial" w:cs="Arial"/>
                      <w:i/>
                      <w:iCs/>
                    </w:rPr>
                    <w:tab/>
                    <w:t xml:space="preserve">DAPS and CAPC related capabilities are not applicable for RedCap UE; [8/20] FFS on CHO. FFS on </w:t>
                  </w:r>
                  <w:r w:rsidRPr="00783458">
                    <w:rPr>
                      <w:rFonts w:ascii="Arial" w:hAnsi="Arial" w:cs="Arial"/>
                      <w:i/>
                      <w:iCs/>
                    </w:rPr>
                    <w:tab/>
                    <w:t>how to capture this in the specification;</w:t>
                  </w:r>
                </w:p>
                <w:p w14:paraId="74F216D8" w14:textId="77777777" w:rsidR="00EE4E7A" w:rsidRPr="00783458" w:rsidRDefault="00EE4E7A" w:rsidP="003D65B4">
                  <w:pPr>
                    <w:autoSpaceDE/>
                    <w:autoSpaceDN/>
                    <w:adjustRightInd/>
                    <w:spacing w:after="0" w:line="252" w:lineRule="auto"/>
                    <w:contextualSpacing/>
                    <w:rPr>
                      <w:rFonts w:ascii="Segoe UI" w:hAnsi="Segoe UI" w:cs="Segoe UI"/>
                      <w:i/>
                      <w:iCs/>
                    </w:rPr>
                  </w:pPr>
                </w:p>
                <w:p w14:paraId="0663546F"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Agreements via email - from offline 109:</w:t>
                  </w:r>
                </w:p>
                <w:p w14:paraId="2BAAD275"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1.</w:t>
                  </w:r>
                  <w:r w:rsidRPr="00783458">
                    <w:rPr>
                      <w:rFonts w:ascii="Arial" w:hAnsi="Arial" w:cs="Arial"/>
                      <w:i/>
                      <w:iCs/>
                    </w:rPr>
                    <w:tab/>
                    <w:t>Maximum 8 DRBs is mandatory supported by RedCap UEs.</w:t>
                  </w:r>
                </w:p>
                <w:p w14:paraId="5358ABD1"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2.</w:t>
                  </w:r>
                  <w:r w:rsidRPr="00783458">
                    <w:rPr>
                      <w:rFonts w:ascii="Arial" w:hAnsi="Arial" w:cs="Arial"/>
                      <w:i/>
                      <w:iCs/>
                    </w:rPr>
                    <w:tab/>
                    <w:t>From RAN2 perspective, inter RAT mobility related capabilities are applicable for RedCap UE;</w:t>
                  </w:r>
                </w:p>
                <w:p w14:paraId="0BC45E8D"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3.</w:t>
                  </w:r>
                  <w:r w:rsidRPr="00783458">
                    <w:rPr>
                      <w:rFonts w:ascii="Arial" w:hAnsi="Arial" w:cs="Arial"/>
                      <w:i/>
                      <w:iCs/>
                    </w:rPr>
                    <w:tab/>
                    <w:t>From RAN2 perspective, measurement related capabilities are applicable for RedCap UE;</w:t>
                  </w:r>
                </w:p>
                <w:p w14:paraId="076BF0BD"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4.</w:t>
                  </w:r>
                  <w:r w:rsidRPr="00783458">
                    <w:rPr>
                      <w:rFonts w:ascii="Arial" w:hAnsi="Arial" w:cs="Arial"/>
                      <w:i/>
                      <w:iCs/>
                    </w:rPr>
                    <w:tab/>
                    <w:t xml:space="preserve">From RAN2 perspective, URLLC related capabilities are applicable for RedCap UE except those </w:t>
                  </w:r>
                  <w:r w:rsidRPr="00783458">
                    <w:rPr>
                      <w:rFonts w:ascii="Arial" w:hAnsi="Arial" w:cs="Arial"/>
                      <w:i/>
                      <w:iCs/>
                    </w:rPr>
                    <w:tab/>
                    <w:t>affected by CA/DC;</w:t>
                  </w:r>
                </w:p>
                <w:p w14:paraId="52FF27E6"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5.</w:t>
                  </w:r>
                  <w:r w:rsidRPr="00783458">
                    <w:rPr>
                      <w:rFonts w:ascii="Arial" w:hAnsi="Arial" w:cs="Arial"/>
                      <w:i/>
                      <w:iCs/>
                    </w:rPr>
                    <w:tab/>
                    <w:t xml:space="preserve">From RAN2 perspective, IAB related capabilities are not applicable for RedCap UE, i.e. the RedCap </w:t>
                  </w:r>
                  <w:r w:rsidRPr="00783458">
                    <w:rPr>
                      <w:rFonts w:ascii="Arial" w:hAnsi="Arial" w:cs="Arial"/>
                      <w:i/>
                      <w:iCs/>
                    </w:rPr>
                    <w:tab/>
                    <w:t>UE is not expected to act as IAB node;</w:t>
                  </w:r>
                </w:p>
                <w:p w14:paraId="21AA86F6" w14:textId="77777777" w:rsidR="00EE4E7A" w:rsidRPr="00783458" w:rsidRDefault="00EE4E7A" w:rsidP="003D65B4">
                  <w:pPr>
                    <w:autoSpaceDE/>
                    <w:autoSpaceDN/>
                    <w:adjustRightInd/>
                    <w:spacing w:after="0" w:line="252" w:lineRule="auto"/>
                    <w:contextualSpacing/>
                    <w:rPr>
                      <w:rFonts w:ascii="Segoe UI" w:hAnsi="Segoe UI" w:cs="Segoe UI"/>
                      <w:i/>
                      <w:iCs/>
                    </w:rPr>
                  </w:pPr>
                  <w:r w:rsidRPr="00783458">
                    <w:rPr>
                      <w:rFonts w:ascii="Arial" w:hAnsi="Arial" w:cs="Arial"/>
                      <w:i/>
                      <w:iCs/>
                    </w:rPr>
                    <w:t>6.</w:t>
                  </w:r>
                  <w:r w:rsidRPr="00783458">
                    <w:rPr>
                      <w:rFonts w:ascii="Arial" w:hAnsi="Arial" w:cs="Arial"/>
                      <w:i/>
                      <w:iCs/>
                    </w:rPr>
                    <w:tab/>
                    <w:t xml:space="preserve">Do not introduce capability signalling on the supported Rx number for RedCap UE since the number </w:t>
                  </w:r>
                  <w:r w:rsidRPr="00783458">
                    <w:rPr>
                      <w:rFonts w:ascii="Arial" w:hAnsi="Arial" w:cs="Arial"/>
                      <w:i/>
                      <w:iCs/>
                    </w:rPr>
                    <w:tab/>
                    <w:t xml:space="preserve">of Rx branches for RedCap is implicitly indicated by the corresponding capability parameter </w:t>
                  </w:r>
                  <w:r w:rsidRPr="00783458">
                    <w:rPr>
                      <w:rFonts w:ascii="Arial" w:hAnsi="Arial" w:cs="Arial"/>
                      <w:i/>
                      <w:iCs/>
                    </w:rPr>
                    <w:tab/>
                    <w:t>maxNumberMIMO-LayersPDSCH in the existing UE capability framework;</w:t>
                  </w:r>
                </w:p>
              </w:tc>
            </w:tr>
          </w:tbl>
          <w:p w14:paraId="27AA1BC3" w14:textId="77777777" w:rsidR="00EE4E7A" w:rsidRPr="00783458" w:rsidRDefault="00EE4E7A" w:rsidP="003D65B4">
            <w:pPr>
              <w:spacing w:line="254" w:lineRule="auto"/>
              <w:contextualSpacing/>
              <w:rPr>
                <w:rFonts w:ascii="Arial" w:hAnsi="Arial" w:cs="Arial"/>
                <w:i/>
                <w:iCs/>
              </w:rPr>
            </w:pPr>
          </w:p>
          <w:p w14:paraId="43F7BE2A" w14:textId="77777777" w:rsidR="00EE4E7A" w:rsidRPr="00783458" w:rsidRDefault="00EE4E7A" w:rsidP="003D65B4">
            <w:pPr>
              <w:spacing w:line="254" w:lineRule="auto"/>
              <w:contextualSpacing/>
              <w:rPr>
                <w:rFonts w:ascii="Arial" w:hAnsi="Arial" w:cs="Arial"/>
                <w:i/>
                <w:iCs/>
              </w:rPr>
            </w:pPr>
            <w:r w:rsidRPr="00783458">
              <w:rPr>
                <w:rFonts w:ascii="Arial" w:hAnsi="Arial" w:cs="Arial"/>
                <w:i/>
                <w:iCs/>
              </w:rPr>
              <w:t xml:space="preserve">RAN2 would like to respectfully ask RAN1 and RAN4 to provide their feedback, if any, on the above agreements. </w:t>
            </w:r>
          </w:p>
          <w:p w14:paraId="12471F30" w14:textId="77777777" w:rsidR="00EE4E7A" w:rsidRPr="00783458" w:rsidRDefault="00EE4E7A" w:rsidP="003D65B4">
            <w:pPr>
              <w:spacing w:line="254" w:lineRule="auto"/>
              <w:contextualSpacing/>
              <w:rPr>
                <w:rFonts w:ascii="Arial" w:hAnsi="Arial" w:cs="Arial"/>
                <w:i/>
                <w:iCs/>
              </w:rPr>
            </w:pPr>
          </w:p>
          <w:p w14:paraId="4D842451" w14:textId="77777777" w:rsidR="00EE4E7A" w:rsidRPr="00783458" w:rsidRDefault="00EE4E7A" w:rsidP="003D65B4">
            <w:pPr>
              <w:spacing w:line="254" w:lineRule="auto"/>
              <w:contextualSpacing/>
              <w:rPr>
                <w:rFonts w:ascii="Arial" w:hAnsi="Arial" w:cs="Arial"/>
                <w:i/>
                <w:iCs/>
              </w:rPr>
            </w:pPr>
            <w:r w:rsidRPr="00783458">
              <w:rPr>
                <w:rFonts w:ascii="Arial" w:hAnsi="Arial" w:cs="Arial"/>
                <w:i/>
                <w:iCs/>
              </w:rPr>
              <w:t xml:space="preserve">Additionally, RAN2 would like to ask RAN1 and RAN4 whether there are any Rel-15 and/or Rel-16 UE features or capabilities which should not be applicable for RedCap UEs? </w:t>
            </w:r>
          </w:p>
          <w:p w14:paraId="617213E3" w14:textId="77777777" w:rsidR="00EE4E7A" w:rsidRPr="00783458" w:rsidRDefault="00EE4E7A" w:rsidP="003D65B4">
            <w:pPr>
              <w:pStyle w:val="Heading1"/>
              <w:outlineLvl w:val="0"/>
              <w:rPr>
                <w:i/>
                <w:iCs/>
              </w:rPr>
            </w:pPr>
            <w:r w:rsidRPr="00783458">
              <w:rPr>
                <w:i/>
                <w:iCs/>
              </w:rPr>
              <w:t>2</w:t>
            </w:r>
            <w:r w:rsidRPr="00783458">
              <w:rPr>
                <w:i/>
                <w:iCs/>
              </w:rPr>
              <w:tab/>
              <w:t>Actions</w:t>
            </w:r>
          </w:p>
          <w:p w14:paraId="7071CAD9" w14:textId="77777777" w:rsidR="00EE4E7A" w:rsidRPr="00783458" w:rsidRDefault="00EE4E7A" w:rsidP="003D65B4">
            <w:pPr>
              <w:ind w:left="1985" w:hanging="1985"/>
              <w:rPr>
                <w:rFonts w:ascii="Arial" w:hAnsi="Arial" w:cs="Arial"/>
                <w:b/>
                <w:i/>
                <w:iCs/>
              </w:rPr>
            </w:pPr>
            <w:r w:rsidRPr="00783458">
              <w:rPr>
                <w:rFonts w:ascii="Arial" w:hAnsi="Arial" w:cs="Arial"/>
                <w:b/>
                <w:i/>
                <w:iCs/>
              </w:rPr>
              <w:t>To RAN1 and RAN4:</w:t>
            </w:r>
          </w:p>
          <w:p w14:paraId="587FC970" w14:textId="77777777" w:rsidR="00EE4E7A" w:rsidRPr="00783458" w:rsidRDefault="00EE4E7A" w:rsidP="003D65B4">
            <w:pPr>
              <w:ind w:left="1440" w:hanging="1440"/>
              <w:rPr>
                <w:rFonts w:ascii="Arial" w:hAnsi="Arial" w:cs="Arial"/>
                <w:i/>
                <w:iCs/>
              </w:rPr>
            </w:pPr>
            <w:r w:rsidRPr="00783458">
              <w:rPr>
                <w:rFonts w:ascii="Arial" w:hAnsi="Arial" w:cs="Arial"/>
                <w:b/>
                <w:i/>
                <w:iCs/>
              </w:rPr>
              <w:t xml:space="preserve">ACTION: </w:t>
            </w:r>
            <w:r w:rsidRPr="00783458">
              <w:rPr>
                <w:rFonts w:ascii="Arial" w:hAnsi="Arial" w:cs="Arial"/>
                <w:b/>
                <w:i/>
                <w:iCs/>
              </w:rPr>
              <w:tab/>
            </w:r>
            <w:r w:rsidRPr="00783458">
              <w:rPr>
                <w:rFonts w:ascii="Arial" w:hAnsi="Arial" w:cs="Arial"/>
                <w:i/>
                <w:iCs/>
              </w:rPr>
              <w:t>RAN2 respectfully asks RAN1 and RAN4 to provide feedback on the RAN2 agreements related to above UE capabilities, if any.</w:t>
            </w:r>
          </w:p>
          <w:p w14:paraId="395FA907" w14:textId="77777777" w:rsidR="00EE4E7A" w:rsidRPr="00783458" w:rsidRDefault="00EE4E7A" w:rsidP="003D65B4">
            <w:pPr>
              <w:spacing w:line="254" w:lineRule="auto"/>
              <w:ind w:left="1440" w:hanging="1440"/>
              <w:contextualSpacing/>
              <w:rPr>
                <w:rFonts w:ascii="Arial" w:hAnsi="Arial" w:cs="Arial"/>
                <w:i/>
                <w:iCs/>
              </w:rPr>
            </w:pPr>
            <w:r w:rsidRPr="00783458">
              <w:rPr>
                <w:rFonts w:ascii="Arial" w:hAnsi="Arial" w:cs="Arial"/>
                <w:b/>
                <w:i/>
                <w:iCs/>
              </w:rPr>
              <w:t>ACTION:</w:t>
            </w:r>
            <w:r w:rsidRPr="00783458">
              <w:rPr>
                <w:rFonts w:ascii="Arial" w:hAnsi="Arial" w:cs="Arial"/>
                <w:i/>
                <w:iCs/>
              </w:rPr>
              <w:t xml:space="preserve"> </w:t>
            </w:r>
            <w:r w:rsidRPr="00783458">
              <w:rPr>
                <w:rFonts w:ascii="Arial" w:hAnsi="Arial" w:cs="Arial"/>
                <w:i/>
                <w:iCs/>
              </w:rPr>
              <w:tab/>
              <w:t>RAN2 respectfully asks RAN1 and RAN4 whether there are any Rel-15 and/or Rel-16 UE features or capabilities which should not be applicable for RedCap UEs?</w:t>
            </w:r>
          </w:p>
        </w:tc>
      </w:tr>
    </w:tbl>
    <w:p w14:paraId="3ED706AF" w14:textId="048A8FBD" w:rsidR="00EE4E7A" w:rsidRDefault="00B81BD8" w:rsidP="00EE4E7A">
      <w:r>
        <w:lastRenderedPageBreak/>
        <w:t>Overall</w:t>
      </w:r>
      <w:r w:rsidR="00EE4E7A">
        <w:t>, we can expect UE capabilities for RedCap to be defined based on the following framework.</w:t>
      </w:r>
    </w:p>
    <w:p w14:paraId="5A283D4A" w14:textId="69E83A05" w:rsidR="00EE4E7A" w:rsidRPr="00011D4C" w:rsidRDefault="00EE4E7A" w:rsidP="00EE4E7A">
      <w:pPr>
        <w:rPr>
          <w:b/>
          <w:bCs/>
        </w:rPr>
      </w:pPr>
      <w:r w:rsidRPr="00011D4C">
        <w:rPr>
          <w:b/>
          <w:bCs/>
        </w:rPr>
        <w:t xml:space="preserve">Observation </w:t>
      </w:r>
      <w:r w:rsidR="00B81BD8">
        <w:rPr>
          <w:b/>
          <w:bCs/>
        </w:rPr>
        <w:t>1</w:t>
      </w:r>
      <w:r w:rsidRPr="00011D4C">
        <w:rPr>
          <w:b/>
          <w:bCs/>
        </w:rPr>
        <w:t xml:space="preserve">: </w:t>
      </w:r>
    </w:p>
    <w:p w14:paraId="54C4384B" w14:textId="77777777" w:rsidR="00EE4E7A" w:rsidRPr="00011D4C" w:rsidRDefault="00EE4E7A" w:rsidP="00EE4E7A">
      <w:pPr>
        <w:pStyle w:val="ListParagraph"/>
        <w:numPr>
          <w:ilvl w:val="0"/>
          <w:numId w:val="16"/>
        </w:numPr>
        <w:autoSpaceDE/>
        <w:autoSpaceDN/>
        <w:adjustRightInd/>
        <w:snapToGrid/>
        <w:spacing w:after="160" w:line="259" w:lineRule="auto"/>
        <w:jc w:val="left"/>
        <w:rPr>
          <w:i/>
          <w:iCs/>
          <w:lang w:eastAsia="x-none"/>
        </w:rPr>
      </w:pPr>
      <w:r w:rsidRPr="00011D4C">
        <w:rPr>
          <w:i/>
          <w:iCs/>
          <w:lang w:eastAsia="x-none"/>
        </w:rPr>
        <w:t xml:space="preserve">Barring exceptions, the UE capabilities defined in </w:t>
      </w:r>
      <w:r>
        <w:rPr>
          <w:i/>
          <w:iCs/>
          <w:lang w:eastAsia="x-none"/>
        </w:rPr>
        <w:t xml:space="preserve">TS </w:t>
      </w:r>
      <w:r w:rsidRPr="00011D4C">
        <w:rPr>
          <w:i/>
          <w:iCs/>
          <w:lang w:eastAsia="x-none"/>
        </w:rPr>
        <w:t xml:space="preserve">38.306 for non-RedCap UEs, would apply for RedCap UEs. Four categories of exceptions: </w:t>
      </w:r>
    </w:p>
    <w:p w14:paraId="06B06B1E" w14:textId="77777777" w:rsidR="00EE4E7A" w:rsidRPr="00011D4C" w:rsidRDefault="00EE4E7A" w:rsidP="00EE4E7A">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Mandatory capabilities (for non-RedCap) may be made optional or not supported at all, if any</w:t>
      </w:r>
    </w:p>
    <w:p w14:paraId="390A1785" w14:textId="77777777" w:rsidR="00EE4E7A" w:rsidRPr="00011D4C" w:rsidRDefault="00EE4E7A" w:rsidP="00EE4E7A">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Optional capabilities (for non-RedCap) may be made mandatory for RedCap UE, if any</w:t>
      </w:r>
    </w:p>
    <w:p w14:paraId="533516F1" w14:textId="77777777" w:rsidR="00EE4E7A" w:rsidRDefault="00EE4E7A" w:rsidP="00EE4E7A">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Mandatory/optional capability (for non-RedCap) that may be modified in terms of supported values to report or additional/modifications to conditions for RedCap UEs, if any</w:t>
      </w:r>
    </w:p>
    <w:p w14:paraId="36BDFC49" w14:textId="77777777" w:rsidR="00EE4E7A" w:rsidRPr="00011D4C" w:rsidRDefault="00EE4E7A" w:rsidP="00EE4E7A">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New capabilities for RedCap UEs (mandatory or optional) that may not be available for non-RedCap UEs</w:t>
      </w:r>
      <w:r>
        <w:rPr>
          <w:i/>
          <w:iCs/>
          <w:lang w:eastAsia="x-none"/>
        </w:rPr>
        <w:t>.</w:t>
      </w:r>
      <w:r w:rsidRPr="00011D4C">
        <w:rPr>
          <w:i/>
          <w:iCs/>
          <w:lang w:eastAsia="x-none"/>
        </w:rPr>
        <w:t xml:space="preserve"> </w:t>
      </w:r>
    </w:p>
    <w:p w14:paraId="3184431A" w14:textId="77777777" w:rsidR="00EE4E7A" w:rsidRDefault="00EE4E7A" w:rsidP="00EE4E7A">
      <w:r>
        <w:t xml:space="preserve">Thus, we can see that in addition to new Rel-17 UE capabilities for RedCap UEs, the Rel-15 and Rel-16 UE capabilities are also expected to be adapted as they may apply to RedCap UEs (or not). </w:t>
      </w:r>
    </w:p>
    <w:p w14:paraId="3A0F1A55" w14:textId="77777777" w:rsidR="00EE4E7A" w:rsidRDefault="00EE4E7A" w:rsidP="00EE4E7A">
      <w:pPr>
        <w:rPr>
          <w:b/>
          <w:bCs/>
        </w:rPr>
      </w:pPr>
    </w:p>
    <w:p w14:paraId="7071F935" w14:textId="23E5A0D9" w:rsidR="00EE4E7A" w:rsidRPr="00011D4C" w:rsidRDefault="00EE4E7A" w:rsidP="00EE4E7A">
      <w:pPr>
        <w:rPr>
          <w:b/>
          <w:bCs/>
        </w:rPr>
      </w:pPr>
      <w:r w:rsidRPr="00011D4C">
        <w:rPr>
          <w:b/>
          <w:bCs/>
        </w:rPr>
        <w:t xml:space="preserve">Observation </w:t>
      </w:r>
      <w:r w:rsidR="0036082E">
        <w:rPr>
          <w:b/>
          <w:bCs/>
        </w:rPr>
        <w:t>2</w:t>
      </w:r>
      <w:r w:rsidRPr="00011D4C">
        <w:rPr>
          <w:b/>
          <w:bCs/>
        </w:rPr>
        <w:t xml:space="preserve">: </w:t>
      </w:r>
    </w:p>
    <w:p w14:paraId="5F724749" w14:textId="77777777" w:rsidR="00EE4E7A" w:rsidRPr="00011D4C" w:rsidRDefault="00EE4E7A" w:rsidP="00EE4E7A">
      <w:pPr>
        <w:pStyle w:val="ListParagraph"/>
        <w:numPr>
          <w:ilvl w:val="0"/>
          <w:numId w:val="16"/>
        </w:numPr>
        <w:autoSpaceDE/>
        <w:autoSpaceDN/>
        <w:adjustRightInd/>
        <w:snapToGrid/>
        <w:spacing w:after="160" w:line="259" w:lineRule="auto"/>
        <w:jc w:val="left"/>
        <w:rPr>
          <w:i/>
          <w:iCs/>
          <w:lang w:eastAsia="x-none"/>
        </w:rPr>
      </w:pPr>
      <w:r>
        <w:rPr>
          <w:i/>
          <w:iCs/>
          <w:lang w:eastAsia="x-none"/>
        </w:rPr>
        <w:t>In addition to new Rel-17 UE features for RedCap devices, various Rel-15 and Rel-16 features are expected to need adaptations and adjustments in terms of their applicability to Rel-17 RedCap UEs.</w:t>
      </w:r>
    </w:p>
    <w:p w14:paraId="52FA180C" w14:textId="0FE283C3" w:rsidR="00B947E4" w:rsidRDefault="00B947E4" w:rsidP="00EE4E7A">
      <w:r>
        <w:t>In this regard, it would be necessary for RAN1 to</w:t>
      </w:r>
      <w:r w:rsidR="00066DDA">
        <w:t xml:space="preserve"> plan such discussions likely under UE features discussions for Rel-17 RedCap.</w:t>
      </w:r>
      <w:r w:rsidR="00175822">
        <w:t xml:space="preserve"> With such an understanding, we share our views on applicability of certain Rel-15 and Rel-16 features </w:t>
      </w:r>
      <w:r w:rsidR="0036082E">
        <w:t xml:space="preserve">to RedCap devices. </w:t>
      </w:r>
    </w:p>
    <w:p w14:paraId="3E259E0D" w14:textId="4AA26499" w:rsidR="00EE4E7A" w:rsidRDefault="00EE4E7A" w:rsidP="00EE4E7A">
      <w:r>
        <w:t xml:space="preserve">For Rel-15, it has already been agreed that RedCap UEs do not support CA/DC features. All Rel-15 and Rel-16 FGs that are related to CA/DC support should not be applicable for RedCap UEs. Thus, the following </w:t>
      </w:r>
      <w:r w:rsidRPr="00E83CCD">
        <w:rPr>
          <w:b/>
          <w:bCs/>
        </w:rPr>
        <w:t>Rel-15 FGs</w:t>
      </w:r>
      <w:r>
        <w:t xml:space="preserve"> may </w:t>
      </w:r>
      <w:r w:rsidRPr="00906DE1">
        <w:rPr>
          <w:b/>
          <w:bCs/>
          <w:u w:val="single"/>
        </w:rPr>
        <w:t>NOT</w:t>
      </w:r>
      <w:r>
        <w:t xml:space="preserve"> be supported by RedCap UEs:</w:t>
      </w:r>
    </w:p>
    <w:p w14:paraId="442D2D18" w14:textId="77777777" w:rsidR="00EE4E7A" w:rsidRDefault="00EE4E7A" w:rsidP="00EE4E7A">
      <w:pPr>
        <w:pStyle w:val="ListParagraph"/>
        <w:numPr>
          <w:ilvl w:val="0"/>
          <w:numId w:val="16"/>
        </w:numPr>
      </w:pPr>
      <w:r>
        <w:t>FGs #6-5, 6-5a, 6-6, 6-7, 6-8, 6-9, 6-9a, 6-10, 6-10a, 6-11, 6-12, 6-13, 6-19, 6-21, 6-22, 6-23, 6-24, 6-25, 6-25a</w:t>
      </w:r>
    </w:p>
    <w:p w14:paraId="1427B96E" w14:textId="77777777" w:rsidR="00EE4E7A" w:rsidRDefault="00EE4E7A" w:rsidP="00EE4E7A">
      <w:pPr>
        <w:pStyle w:val="ListParagraph"/>
        <w:numPr>
          <w:ilvl w:val="1"/>
          <w:numId w:val="16"/>
        </w:numPr>
      </w:pPr>
      <w:r>
        <w:t>Relevant to CA/DC support</w:t>
      </w:r>
    </w:p>
    <w:p w14:paraId="53015DEB" w14:textId="77777777" w:rsidR="00EE4E7A" w:rsidRDefault="00EE4E7A" w:rsidP="00EE4E7A">
      <w:pPr>
        <w:pStyle w:val="ListParagraph"/>
        <w:numPr>
          <w:ilvl w:val="0"/>
          <w:numId w:val="16"/>
        </w:numPr>
      </w:pPr>
      <w:r>
        <w:t>FGs # 8-1, #8-2</w:t>
      </w:r>
    </w:p>
    <w:p w14:paraId="767CD99C" w14:textId="77777777" w:rsidR="00EE4E7A" w:rsidRDefault="00EE4E7A" w:rsidP="00EE4E7A">
      <w:pPr>
        <w:pStyle w:val="ListParagraph"/>
        <w:numPr>
          <w:ilvl w:val="1"/>
          <w:numId w:val="16"/>
        </w:numPr>
      </w:pPr>
      <w:r>
        <w:t>Relevant to EN-DC support</w:t>
      </w:r>
    </w:p>
    <w:p w14:paraId="2EB51C53" w14:textId="77777777" w:rsidR="00EE4E7A" w:rsidRDefault="00EE4E7A" w:rsidP="00EE4E7A"/>
    <w:p w14:paraId="750C704B" w14:textId="77777777" w:rsidR="00EE4E7A" w:rsidRDefault="00EE4E7A" w:rsidP="00EE4E7A">
      <w:r>
        <w:t xml:space="preserve">In addition to the above, Rel-15 and Rel-16 UE features that are relevant to more than on Tx antenna ports or more than 2 layers in the DL should not be applicable for RedCap UEs. Thus, the following </w:t>
      </w:r>
      <w:r w:rsidRPr="00E83CCD">
        <w:rPr>
          <w:b/>
          <w:bCs/>
        </w:rPr>
        <w:t>Rel-15 FGs</w:t>
      </w:r>
      <w:r>
        <w:t xml:space="preserve"> may </w:t>
      </w:r>
      <w:r w:rsidRPr="00906DE1">
        <w:rPr>
          <w:b/>
          <w:bCs/>
          <w:u w:val="single"/>
        </w:rPr>
        <w:t>NOT</w:t>
      </w:r>
      <w:r>
        <w:t xml:space="preserve"> be supported by RedCap UEs:</w:t>
      </w:r>
    </w:p>
    <w:p w14:paraId="793CECC5" w14:textId="77777777" w:rsidR="00EE4E7A" w:rsidRDefault="00EE4E7A" w:rsidP="00EE4E7A">
      <w:pPr>
        <w:pStyle w:val="ListParagraph"/>
        <w:numPr>
          <w:ilvl w:val="0"/>
          <w:numId w:val="16"/>
        </w:numPr>
      </w:pPr>
      <w:r>
        <w:t>FG #2-16b (</w:t>
      </w:r>
      <w:r w:rsidRPr="00571861">
        <w:t>Support 1+2 DMRS (uplink)</w:t>
      </w:r>
      <w:r>
        <w:t>)</w:t>
      </w:r>
    </w:p>
    <w:p w14:paraId="315447C4" w14:textId="77777777" w:rsidR="00EE4E7A" w:rsidRDefault="00EE4E7A" w:rsidP="00EE4E7A">
      <w:pPr>
        <w:pStyle w:val="ListParagraph"/>
        <w:numPr>
          <w:ilvl w:val="1"/>
          <w:numId w:val="16"/>
        </w:numPr>
      </w:pPr>
      <w:r>
        <w:t>Relevant to support of more than one antenna port in the UL</w:t>
      </w:r>
    </w:p>
    <w:p w14:paraId="0951E9F9" w14:textId="77777777" w:rsidR="00EE4E7A" w:rsidRDefault="00EE4E7A" w:rsidP="00EE4E7A">
      <w:pPr>
        <w:pStyle w:val="ListParagraph"/>
        <w:numPr>
          <w:ilvl w:val="0"/>
          <w:numId w:val="16"/>
        </w:numPr>
      </w:pPr>
      <w:r>
        <w:t>FG #2-55 (SRS Tx switch)</w:t>
      </w:r>
    </w:p>
    <w:p w14:paraId="268998AD" w14:textId="77777777" w:rsidR="00EE4E7A" w:rsidRDefault="00EE4E7A" w:rsidP="00EE4E7A">
      <w:pPr>
        <w:pStyle w:val="ListParagraph"/>
        <w:numPr>
          <w:ilvl w:val="1"/>
          <w:numId w:val="16"/>
        </w:numPr>
      </w:pPr>
      <w:r>
        <w:t>Relevant to support of multiple UL APs</w:t>
      </w:r>
    </w:p>
    <w:p w14:paraId="07B2E690" w14:textId="77777777" w:rsidR="00EE4E7A" w:rsidRDefault="00EE4E7A" w:rsidP="00EE4E7A">
      <w:pPr>
        <w:pStyle w:val="ListParagraph"/>
        <w:numPr>
          <w:ilvl w:val="0"/>
          <w:numId w:val="16"/>
        </w:numPr>
      </w:pPr>
      <w:r>
        <w:t>FG #4-12 (</w:t>
      </w:r>
      <w:r w:rsidRPr="007E3E41">
        <w:t>HARQ-ACK spatial bundling for PUCCH or PUSCH per PUCCH group</w:t>
      </w:r>
      <w:r>
        <w:t>)</w:t>
      </w:r>
    </w:p>
    <w:p w14:paraId="7543E140" w14:textId="77777777" w:rsidR="00EE4E7A" w:rsidRDefault="00EE4E7A" w:rsidP="00EE4E7A">
      <w:pPr>
        <w:pStyle w:val="ListParagraph"/>
        <w:numPr>
          <w:ilvl w:val="1"/>
          <w:numId w:val="16"/>
        </w:numPr>
      </w:pPr>
      <w:r>
        <w:t>Relevant to support of &gt; 4 layers in the DL</w:t>
      </w:r>
    </w:p>
    <w:p w14:paraId="48254445" w14:textId="77777777" w:rsidR="00EE4E7A" w:rsidRDefault="00EE4E7A" w:rsidP="00EE4E7A"/>
    <w:p w14:paraId="58B8D3D2" w14:textId="77777777" w:rsidR="00EE4E7A" w:rsidRDefault="00EE4E7A" w:rsidP="00EE4E7A">
      <w:r>
        <w:t>Next, we list the considerations on Rel-16 features in context of RedCap UEs:</w:t>
      </w:r>
    </w:p>
    <w:p w14:paraId="45A30770" w14:textId="77777777" w:rsidR="00EE4E7A" w:rsidRDefault="00EE4E7A" w:rsidP="00EE4E7A">
      <w:pPr>
        <w:pStyle w:val="ListParagraph"/>
        <w:numPr>
          <w:ilvl w:val="0"/>
          <w:numId w:val="16"/>
        </w:numPr>
      </w:pPr>
      <w:r>
        <w:t>2-step RACH</w:t>
      </w:r>
    </w:p>
    <w:p w14:paraId="1A613FF6" w14:textId="77777777" w:rsidR="00EE4E7A" w:rsidRDefault="00EE4E7A" w:rsidP="00EE4E7A">
      <w:pPr>
        <w:pStyle w:val="ListParagraph"/>
        <w:numPr>
          <w:ilvl w:val="1"/>
          <w:numId w:val="16"/>
        </w:numPr>
      </w:pPr>
      <w:r>
        <w:t xml:space="preserve">Can be optionally supported </w:t>
      </w:r>
    </w:p>
    <w:p w14:paraId="1FDF85E7" w14:textId="77777777" w:rsidR="00EE4E7A" w:rsidRDefault="00EE4E7A" w:rsidP="00EE4E7A">
      <w:pPr>
        <w:pStyle w:val="ListParagraph"/>
        <w:numPr>
          <w:ilvl w:val="0"/>
          <w:numId w:val="16"/>
        </w:numPr>
      </w:pPr>
      <w:r>
        <w:lastRenderedPageBreak/>
        <w:t>NR-Unlicensed</w:t>
      </w:r>
    </w:p>
    <w:p w14:paraId="5D20B7F9" w14:textId="77777777" w:rsidR="00EE4E7A" w:rsidRDefault="00EE4E7A" w:rsidP="00EE4E7A">
      <w:pPr>
        <w:pStyle w:val="ListParagraph"/>
        <w:numPr>
          <w:ilvl w:val="1"/>
          <w:numId w:val="16"/>
        </w:numPr>
      </w:pPr>
      <w:r>
        <w:t>Can be optionally supported</w:t>
      </w:r>
    </w:p>
    <w:p w14:paraId="4B3EA91E" w14:textId="77777777" w:rsidR="00EE4E7A" w:rsidRDefault="00EE4E7A" w:rsidP="00EE4E7A">
      <w:pPr>
        <w:pStyle w:val="ListParagraph"/>
        <w:numPr>
          <w:ilvl w:val="0"/>
          <w:numId w:val="16"/>
        </w:numPr>
      </w:pPr>
      <w:r>
        <w:t>URLLC/IIoT</w:t>
      </w:r>
    </w:p>
    <w:p w14:paraId="3DEABFB0" w14:textId="77777777" w:rsidR="00EE4E7A" w:rsidRDefault="00EE4E7A" w:rsidP="00EE4E7A">
      <w:pPr>
        <w:pStyle w:val="ListParagraph"/>
        <w:numPr>
          <w:ilvl w:val="1"/>
          <w:numId w:val="16"/>
        </w:numPr>
      </w:pPr>
      <w:r>
        <w:t>Can be optionally supported</w:t>
      </w:r>
    </w:p>
    <w:p w14:paraId="71C889F8" w14:textId="77777777" w:rsidR="00EE4E7A" w:rsidRDefault="00EE4E7A" w:rsidP="00EE4E7A">
      <w:pPr>
        <w:pStyle w:val="ListParagraph"/>
        <w:numPr>
          <w:ilvl w:val="0"/>
          <w:numId w:val="16"/>
        </w:numPr>
      </w:pPr>
      <w:r>
        <w:t>UE power saving</w:t>
      </w:r>
    </w:p>
    <w:p w14:paraId="3561D06D" w14:textId="77777777" w:rsidR="00EE4E7A" w:rsidRDefault="00EE4E7A" w:rsidP="00EE4E7A">
      <w:pPr>
        <w:pStyle w:val="ListParagraph"/>
        <w:numPr>
          <w:ilvl w:val="1"/>
          <w:numId w:val="16"/>
        </w:numPr>
      </w:pPr>
      <w:r>
        <w:t>Can be optionally supported</w:t>
      </w:r>
    </w:p>
    <w:p w14:paraId="0485BDA4" w14:textId="77777777" w:rsidR="00EE4E7A" w:rsidRDefault="00EE4E7A" w:rsidP="00EE4E7A">
      <w:pPr>
        <w:pStyle w:val="ListParagraph"/>
        <w:numPr>
          <w:ilvl w:val="0"/>
          <w:numId w:val="16"/>
        </w:numPr>
      </w:pPr>
      <w:r>
        <w:t>NR CLI/RIM</w:t>
      </w:r>
    </w:p>
    <w:p w14:paraId="19C90077" w14:textId="77777777" w:rsidR="00EE4E7A" w:rsidRDefault="00EE4E7A" w:rsidP="00EE4E7A">
      <w:pPr>
        <w:pStyle w:val="ListParagraph"/>
        <w:numPr>
          <w:ilvl w:val="1"/>
          <w:numId w:val="16"/>
        </w:numPr>
      </w:pPr>
      <w:r>
        <w:t xml:space="preserve">Can be optionally supported </w:t>
      </w:r>
    </w:p>
    <w:p w14:paraId="4F239E6F" w14:textId="77777777" w:rsidR="00EE4E7A" w:rsidRDefault="00EE4E7A" w:rsidP="00EE4E7A">
      <w:pPr>
        <w:pStyle w:val="ListParagraph"/>
        <w:numPr>
          <w:ilvl w:val="0"/>
          <w:numId w:val="16"/>
        </w:numPr>
      </w:pPr>
      <w:r>
        <w:t>Positioning</w:t>
      </w:r>
    </w:p>
    <w:p w14:paraId="2481F3EC" w14:textId="77777777" w:rsidR="00EE4E7A" w:rsidRDefault="00EE4E7A" w:rsidP="00EE4E7A">
      <w:pPr>
        <w:pStyle w:val="ListParagraph"/>
        <w:numPr>
          <w:ilvl w:val="1"/>
          <w:numId w:val="16"/>
        </w:numPr>
      </w:pPr>
      <w:r>
        <w:t>Positioning performance with reduced BW support needs further considerations and may be further considered in Rel-18</w:t>
      </w:r>
    </w:p>
    <w:p w14:paraId="28777848" w14:textId="77777777" w:rsidR="00EE4E7A" w:rsidRDefault="00EE4E7A" w:rsidP="00EE4E7A">
      <w:pPr>
        <w:pStyle w:val="ListParagraph"/>
        <w:numPr>
          <w:ilvl w:val="0"/>
          <w:numId w:val="16"/>
        </w:numPr>
      </w:pPr>
      <w:r>
        <w:t>V2X/ NR SL</w:t>
      </w:r>
    </w:p>
    <w:p w14:paraId="0A4E29F1" w14:textId="77777777" w:rsidR="00EE4E7A" w:rsidRDefault="00EE4E7A" w:rsidP="00EE4E7A">
      <w:pPr>
        <w:pStyle w:val="ListParagraph"/>
        <w:numPr>
          <w:ilvl w:val="1"/>
          <w:numId w:val="16"/>
        </w:numPr>
      </w:pPr>
      <w:r>
        <w:t>While V2X/SL features may be supported by the same device as discussed in RAN #93-e without any BW restrictions for certain V2X bands, further studies would be necessary to before V2X/SL can be supported with BW limitations of RedCap</w:t>
      </w:r>
    </w:p>
    <w:p w14:paraId="73ABB679" w14:textId="77777777" w:rsidR="00EE4E7A" w:rsidRDefault="00EE4E7A" w:rsidP="00EE4E7A">
      <w:pPr>
        <w:pStyle w:val="ListParagraph"/>
        <w:numPr>
          <w:ilvl w:val="0"/>
          <w:numId w:val="16"/>
        </w:numPr>
      </w:pPr>
      <w:r>
        <w:t>NR IAB</w:t>
      </w:r>
    </w:p>
    <w:p w14:paraId="1D843B71" w14:textId="77777777" w:rsidR="00EE4E7A" w:rsidRDefault="00EE4E7A" w:rsidP="00EE4E7A">
      <w:pPr>
        <w:pStyle w:val="ListParagraph"/>
        <w:numPr>
          <w:ilvl w:val="1"/>
          <w:numId w:val="16"/>
        </w:numPr>
      </w:pPr>
      <w:r>
        <w:t>Not supported by RedCap UEs</w:t>
      </w:r>
    </w:p>
    <w:p w14:paraId="74E91EB6" w14:textId="77777777" w:rsidR="00EE4E7A" w:rsidRDefault="00EE4E7A" w:rsidP="00EE4E7A">
      <w:pPr>
        <w:pStyle w:val="ListParagraph"/>
        <w:numPr>
          <w:ilvl w:val="0"/>
          <w:numId w:val="16"/>
        </w:numPr>
      </w:pPr>
      <w:r>
        <w:t>Mobility enh.</w:t>
      </w:r>
    </w:p>
    <w:p w14:paraId="2E4C22F4" w14:textId="77777777" w:rsidR="00EE4E7A" w:rsidRDefault="00EE4E7A" w:rsidP="00EE4E7A">
      <w:pPr>
        <w:pStyle w:val="ListParagraph"/>
        <w:numPr>
          <w:ilvl w:val="1"/>
          <w:numId w:val="16"/>
        </w:numPr>
      </w:pPr>
      <w:r>
        <w:t>Not supported by RedCap UEs since Rel-16 mobility enhancements features assume support of DAPS which is not applicable to RedCap UEs</w:t>
      </w:r>
    </w:p>
    <w:p w14:paraId="39E5C7C7" w14:textId="77777777" w:rsidR="00EE4E7A" w:rsidRDefault="00EE4E7A" w:rsidP="00EE4E7A"/>
    <w:p w14:paraId="3F2DEEAA" w14:textId="77777777" w:rsidR="00EE4E7A" w:rsidRDefault="00EE4E7A" w:rsidP="00EE4E7A">
      <w:r>
        <w:t xml:space="preserve">In addition to the above, several UE features from Rel-15/16 are expected to need adjustments for RedCap UEs as compared to non-RedCap UEs. These include, but not limited to, the following: </w:t>
      </w:r>
    </w:p>
    <w:p w14:paraId="6029D3A3" w14:textId="77777777" w:rsidR="00EE4E7A" w:rsidRDefault="00EE4E7A" w:rsidP="00EE4E7A">
      <w:pPr>
        <w:pStyle w:val="ListParagraph"/>
        <w:numPr>
          <w:ilvl w:val="0"/>
          <w:numId w:val="24"/>
        </w:numPr>
      </w:pPr>
      <w:r>
        <w:t>FGs #6-1 and 6-1a</w:t>
      </w:r>
    </w:p>
    <w:p w14:paraId="3FA8F2ED" w14:textId="019CBD73" w:rsidR="00EE4E7A" w:rsidRDefault="00EE4E7A" w:rsidP="00DA30A6">
      <w:pPr>
        <w:pStyle w:val="ListParagraph"/>
        <w:numPr>
          <w:ilvl w:val="1"/>
          <w:numId w:val="24"/>
        </w:numPr>
      </w:pPr>
      <w:r>
        <w:t>For RedCap UEs, operation without CORESET #0 within the active DL BWP should be mandatory and only expectation on SSB in active DL BWP may be considered during RAN1 #106bis-E discussions in AI 8.6.1.1.</w:t>
      </w:r>
      <w:r w:rsidR="000B1C23">
        <w:t xml:space="preserve"> </w:t>
      </w:r>
      <w:r w:rsidR="00DA30A6">
        <w:t>This would require updates to at least FG #6-1.</w:t>
      </w:r>
    </w:p>
    <w:p w14:paraId="4F7C385A" w14:textId="77777777" w:rsidR="00EE4E7A" w:rsidRDefault="00EE4E7A" w:rsidP="00EE4E7A"/>
    <w:p w14:paraId="6B8AAEC2" w14:textId="5510FFBA" w:rsidR="00EE4E7A" w:rsidRPr="006F103D" w:rsidRDefault="00EE4E7A" w:rsidP="00EE4E7A">
      <w:pPr>
        <w:autoSpaceDE/>
        <w:autoSpaceDN/>
        <w:adjustRightInd/>
        <w:snapToGrid/>
        <w:spacing w:after="160" w:line="259" w:lineRule="auto"/>
        <w:jc w:val="left"/>
        <w:rPr>
          <w:b/>
          <w:bCs/>
          <w:lang w:eastAsia="x-none"/>
        </w:rPr>
      </w:pPr>
      <w:r w:rsidRPr="006F103D">
        <w:rPr>
          <w:b/>
          <w:bCs/>
          <w:lang w:eastAsia="x-none"/>
        </w:rPr>
        <w:t xml:space="preserve">Proposal </w:t>
      </w:r>
      <w:r w:rsidR="00E10FB8">
        <w:rPr>
          <w:b/>
          <w:bCs/>
          <w:lang w:eastAsia="x-none"/>
        </w:rPr>
        <w:t>2</w:t>
      </w:r>
      <w:r w:rsidRPr="006F103D">
        <w:rPr>
          <w:b/>
          <w:bCs/>
          <w:lang w:eastAsia="x-none"/>
        </w:rPr>
        <w:t>:</w:t>
      </w:r>
    </w:p>
    <w:p w14:paraId="425F2F0E" w14:textId="77777777" w:rsidR="00EE4E7A" w:rsidRPr="00042F14" w:rsidRDefault="00EE4E7A" w:rsidP="00EE4E7A">
      <w:pPr>
        <w:pStyle w:val="ListParagraph"/>
        <w:numPr>
          <w:ilvl w:val="0"/>
          <w:numId w:val="20"/>
        </w:numPr>
        <w:autoSpaceDE/>
        <w:autoSpaceDN/>
        <w:adjustRightInd/>
        <w:snapToGrid/>
        <w:spacing w:after="160" w:line="259" w:lineRule="auto"/>
        <w:ind w:left="360"/>
        <w:jc w:val="left"/>
        <w:rPr>
          <w:i/>
          <w:iCs/>
          <w:lang w:eastAsia="x-none"/>
        </w:rPr>
      </w:pPr>
      <w:r w:rsidRPr="00042F14">
        <w:rPr>
          <w:i/>
          <w:iCs/>
          <w:lang w:eastAsia="x-none"/>
        </w:rPr>
        <w:t xml:space="preserve">The following Rel-15 features related to CA/DC are </w:t>
      </w:r>
      <w:r>
        <w:rPr>
          <w:i/>
          <w:iCs/>
          <w:lang w:eastAsia="x-none"/>
        </w:rPr>
        <w:t>NOT</w:t>
      </w:r>
      <w:r w:rsidRPr="00042F14">
        <w:rPr>
          <w:i/>
          <w:iCs/>
          <w:lang w:eastAsia="x-none"/>
        </w:rPr>
        <w:t xml:space="preserve"> applicable for RedCap UEs:</w:t>
      </w:r>
    </w:p>
    <w:p w14:paraId="589CF930" w14:textId="77777777" w:rsidR="00EE4E7A" w:rsidRPr="00042F14" w:rsidRDefault="00EE4E7A" w:rsidP="00EE4E7A">
      <w:pPr>
        <w:pStyle w:val="ListParagraph"/>
        <w:numPr>
          <w:ilvl w:val="1"/>
          <w:numId w:val="20"/>
        </w:numPr>
        <w:ind w:left="1080"/>
        <w:rPr>
          <w:i/>
          <w:iCs/>
        </w:rPr>
      </w:pPr>
      <w:r w:rsidRPr="00042F14">
        <w:rPr>
          <w:i/>
          <w:iCs/>
        </w:rPr>
        <w:t>FGs #6-5, 6-5a, 6-6, 6-7, 6-8, 6-9, 6-9a, 6-10, 6-10a, 6-11, 6-12, 6-13, 6-19, 6-21, 6-22, 6-23, 6-24, 6-25, 6-25a</w:t>
      </w:r>
    </w:p>
    <w:p w14:paraId="19107CC2" w14:textId="77777777" w:rsidR="00EE4E7A" w:rsidRPr="00042F14" w:rsidRDefault="00EE4E7A" w:rsidP="00EE4E7A">
      <w:pPr>
        <w:pStyle w:val="ListParagraph"/>
        <w:numPr>
          <w:ilvl w:val="2"/>
          <w:numId w:val="20"/>
        </w:numPr>
        <w:ind w:left="1800"/>
        <w:rPr>
          <w:i/>
          <w:iCs/>
        </w:rPr>
      </w:pPr>
      <w:r w:rsidRPr="00042F14">
        <w:rPr>
          <w:i/>
          <w:iCs/>
        </w:rPr>
        <w:t>Relevant to CA/DC support</w:t>
      </w:r>
    </w:p>
    <w:p w14:paraId="288EDB8B" w14:textId="77777777" w:rsidR="00EE4E7A" w:rsidRPr="00042F14" w:rsidRDefault="00EE4E7A" w:rsidP="00EE4E7A">
      <w:pPr>
        <w:pStyle w:val="ListParagraph"/>
        <w:numPr>
          <w:ilvl w:val="1"/>
          <w:numId w:val="20"/>
        </w:numPr>
        <w:ind w:left="1080"/>
        <w:rPr>
          <w:i/>
          <w:iCs/>
        </w:rPr>
      </w:pPr>
      <w:r w:rsidRPr="00042F14">
        <w:rPr>
          <w:i/>
          <w:iCs/>
        </w:rPr>
        <w:t>FGs # 8-1, #8-2</w:t>
      </w:r>
    </w:p>
    <w:p w14:paraId="0B893EC3" w14:textId="77777777" w:rsidR="00EE4E7A" w:rsidRPr="00042F14" w:rsidRDefault="00EE4E7A" w:rsidP="00EE4E7A">
      <w:pPr>
        <w:pStyle w:val="ListParagraph"/>
        <w:numPr>
          <w:ilvl w:val="2"/>
          <w:numId w:val="20"/>
        </w:numPr>
        <w:ind w:left="1800"/>
        <w:rPr>
          <w:i/>
          <w:iCs/>
        </w:rPr>
      </w:pPr>
      <w:r w:rsidRPr="00042F14">
        <w:rPr>
          <w:i/>
          <w:iCs/>
        </w:rPr>
        <w:t>Relevant to EN-DC support</w:t>
      </w:r>
    </w:p>
    <w:p w14:paraId="2B397B75" w14:textId="77777777" w:rsidR="00EE4E7A" w:rsidRDefault="00EE4E7A" w:rsidP="00EE4E7A">
      <w:pPr>
        <w:autoSpaceDE/>
        <w:autoSpaceDN/>
        <w:adjustRightInd/>
        <w:snapToGrid/>
        <w:spacing w:after="160" w:line="259" w:lineRule="auto"/>
        <w:jc w:val="left"/>
        <w:rPr>
          <w:i/>
          <w:iCs/>
          <w:lang w:eastAsia="x-none"/>
        </w:rPr>
      </w:pPr>
    </w:p>
    <w:p w14:paraId="57420F52" w14:textId="1EFB5729" w:rsidR="00EE4E7A" w:rsidRPr="006F103D" w:rsidRDefault="00EE4E7A" w:rsidP="00EE4E7A">
      <w:pPr>
        <w:autoSpaceDE/>
        <w:autoSpaceDN/>
        <w:adjustRightInd/>
        <w:snapToGrid/>
        <w:spacing w:after="160" w:line="259" w:lineRule="auto"/>
        <w:jc w:val="left"/>
        <w:rPr>
          <w:b/>
          <w:bCs/>
          <w:lang w:eastAsia="x-none"/>
        </w:rPr>
      </w:pPr>
      <w:r w:rsidRPr="006F103D">
        <w:rPr>
          <w:b/>
          <w:bCs/>
          <w:lang w:eastAsia="x-none"/>
        </w:rPr>
        <w:t xml:space="preserve">Proposal </w:t>
      </w:r>
      <w:r w:rsidR="00E10FB8">
        <w:rPr>
          <w:b/>
          <w:bCs/>
          <w:lang w:eastAsia="x-none"/>
        </w:rPr>
        <w:t>3</w:t>
      </w:r>
      <w:r w:rsidRPr="006F103D">
        <w:rPr>
          <w:b/>
          <w:bCs/>
          <w:lang w:eastAsia="x-none"/>
        </w:rPr>
        <w:t>:</w:t>
      </w:r>
    </w:p>
    <w:p w14:paraId="1C529223" w14:textId="77777777" w:rsidR="00EE4E7A" w:rsidRDefault="00EE4E7A" w:rsidP="00EE4E7A">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The following Rel-15 features related to MIMO features are NOT applicable for RedCap UEs</w:t>
      </w:r>
      <w:r w:rsidRPr="006F103D">
        <w:rPr>
          <w:i/>
          <w:iCs/>
          <w:lang w:eastAsia="x-none"/>
        </w:rPr>
        <w:t>:</w:t>
      </w:r>
    </w:p>
    <w:p w14:paraId="26BCF7EC" w14:textId="77777777" w:rsidR="00EE4E7A" w:rsidRPr="00042F14" w:rsidRDefault="00EE4E7A" w:rsidP="00EE4E7A">
      <w:pPr>
        <w:pStyle w:val="ListParagraph"/>
        <w:numPr>
          <w:ilvl w:val="1"/>
          <w:numId w:val="20"/>
        </w:numPr>
        <w:ind w:left="1080"/>
        <w:rPr>
          <w:i/>
          <w:iCs/>
        </w:rPr>
      </w:pPr>
      <w:r w:rsidRPr="00042F14">
        <w:rPr>
          <w:i/>
          <w:iCs/>
        </w:rPr>
        <w:t>FG #2-16b (Support 1+2 DMRS (uplink))</w:t>
      </w:r>
    </w:p>
    <w:p w14:paraId="3A7FDCD8" w14:textId="77777777" w:rsidR="00EE4E7A" w:rsidRPr="00042F14" w:rsidRDefault="00EE4E7A" w:rsidP="00EE4E7A">
      <w:pPr>
        <w:pStyle w:val="ListParagraph"/>
        <w:numPr>
          <w:ilvl w:val="2"/>
          <w:numId w:val="20"/>
        </w:numPr>
        <w:ind w:left="1800"/>
        <w:rPr>
          <w:i/>
          <w:iCs/>
        </w:rPr>
      </w:pPr>
      <w:r w:rsidRPr="00042F14">
        <w:rPr>
          <w:i/>
          <w:iCs/>
        </w:rPr>
        <w:t>Relevant to support of more than one antenna port in the UL</w:t>
      </w:r>
    </w:p>
    <w:p w14:paraId="56482894" w14:textId="77777777" w:rsidR="00EE4E7A" w:rsidRPr="00042F14" w:rsidRDefault="00EE4E7A" w:rsidP="00EE4E7A">
      <w:pPr>
        <w:pStyle w:val="ListParagraph"/>
        <w:numPr>
          <w:ilvl w:val="1"/>
          <w:numId w:val="20"/>
        </w:numPr>
        <w:ind w:left="1080"/>
        <w:rPr>
          <w:i/>
          <w:iCs/>
        </w:rPr>
      </w:pPr>
      <w:r w:rsidRPr="00042F14">
        <w:rPr>
          <w:i/>
          <w:iCs/>
        </w:rPr>
        <w:t>FG #2-55 (SRS Tx switch)</w:t>
      </w:r>
    </w:p>
    <w:p w14:paraId="29499500" w14:textId="77777777" w:rsidR="00EE4E7A" w:rsidRPr="00042F14" w:rsidRDefault="00EE4E7A" w:rsidP="00EE4E7A">
      <w:pPr>
        <w:pStyle w:val="ListParagraph"/>
        <w:numPr>
          <w:ilvl w:val="2"/>
          <w:numId w:val="20"/>
        </w:numPr>
        <w:ind w:left="1800"/>
        <w:rPr>
          <w:i/>
          <w:iCs/>
        </w:rPr>
      </w:pPr>
      <w:r w:rsidRPr="00042F14">
        <w:rPr>
          <w:i/>
          <w:iCs/>
        </w:rPr>
        <w:t>Relevant to support of multiple UL APs</w:t>
      </w:r>
    </w:p>
    <w:p w14:paraId="06E5F5AC" w14:textId="77777777" w:rsidR="00EE4E7A" w:rsidRPr="00042F14" w:rsidRDefault="00EE4E7A" w:rsidP="00EE4E7A">
      <w:pPr>
        <w:pStyle w:val="ListParagraph"/>
        <w:numPr>
          <w:ilvl w:val="1"/>
          <w:numId w:val="20"/>
        </w:numPr>
        <w:ind w:left="1080"/>
        <w:rPr>
          <w:i/>
          <w:iCs/>
        </w:rPr>
      </w:pPr>
      <w:r w:rsidRPr="00042F14">
        <w:rPr>
          <w:i/>
          <w:iCs/>
        </w:rPr>
        <w:t>FG #4-12 (HARQ-ACK spatial bundling for PUCCH or PUSCH per PUCCH group)</w:t>
      </w:r>
    </w:p>
    <w:p w14:paraId="3F0E84B4" w14:textId="77777777" w:rsidR="00EE4E7A" w:rsidRPr="00042F14" w:rsidRDefault="00EE4E7A" w:rsidP="00EE4E7A">
      <w:pPr>
        <w:pStyle w:val="ListParagraph"/>
        <w:numPr>
          <w:ilvl w:val="2"/>
          <w:numId w:val="20"/>
        </w:numPr>
        <w:ind w:left="1800"/>
        <w:rPr>
          <w:i/>
          <w:iCs/>
        </w:rPr>
      </w:pPr>
      <w:r w:rsidRPr="00042F14">
        <w:rPr>
          <w:i/>
          <w:iCs/>
        </w:rPr>
        <w:t>Relevant to support of &gt; 4 layers in the DL</w:t>
      </w:r>
    </w:p>
    <w:p w14:paraId="14467BD0" w14:textId="09BB07FF" w:rsidR="00EE4E7A" w:rsidRPr="006F103D" w:rsidRDefault="00EE4E7A" w:rsidP="00EE4E7A">
      <w:pPr>
        <w:autoSpaceDE/>
        <w:autoSpaceDN/>
        <w:adjustRightInd/>
        <w:snapToGrid/>
        <w:spacing w:after="160" w:line="259" w:lineRule="auto"/>
        <w:jc w:val="left"/>
        <w:rPr>
          <w:b/>
          <w:bCs/>
          <w:lang w:eastAsia="x-none"/>
        </w:rPr>
      </w:pPr>
      <w:r w:rsidRPr="006F103D">
        <w:rPr>
          <w:b/>
          <w:bCs/>
          <w:lang w:eastAsia="x-none"/>
        </w:rPr>
        <w:lastRenderedPageBreak/>
        <w:t xml:space="preserve">Proposal </w:t>
      </w:r>
      <w:r w:rsidR="00E10FB8">
        <w:rPr>
          <w:b/>
          <w:bCs/>
          <w:lang w:eastAsia="x-none"/>
        </w:rPr>
        <w:t>4</w:t>
      </w:r>
      <w:r w:rsidRPr="006F103D">
        <w:rPr>
          <w:b/>
          <w:bCs/>
          <w:lang w:eastAsia="x-none"/>
        </w:rPr>
        <w:t>:</w:t>
      </w:r>
    </w:p>
    <w:p w14:paraId="6F088CC3" w14:textId="77777777" w:rsidR="00EE4E7A" w:rsidRDefault="00EE4E7A" w:rsidP="00EE4E7A">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Applicability of some of the Rel-16 features for RedCap UEs is as follows:</w:t>
      </w:r>
    </w:p>
    <w:p w14:paraId="360D0981" w14:textId="77777777" w:rsidR="00EE4E7A" w:rsidRPr="00042F14" w:rsidRDefault="00EE4E7A" w:rsidP="00EE4E7A">
      <w:pPr>
        <w:pStyle w:val="ListParagraph"/>
        <w:numPr>
          <w:ilvl w:val="1"/>
          <w:numId w:val="20"/>
        </w:numPr>
        <w:ind w:left="1080"/>
        <w:rPr>
          <w:i/>
          <w:iCs/>
        </w:rPr>
      </w:pPr>
      <w:r w:rsidRPr="00042F14">
        <w:rPr>
          <w:i/>
          <w:iCs/>
        </w:rPr>
        <w:t>2-step RACH</w:t>
      </w:r>
    </w:p>
    <w:p w14:paraId="2D326CA9" w14:textId="77777777" w:rsidR="00EE4E7A" w:rsidRPr="00042F14" w:rsidRDefault="00EE4E7A" w:rsidP="00EE4E7A">
      <w:pPr>
        <w:pStyle w:val="ListParagraph"/>
        <w:numPr>
          <w:ilvl w:val="2"/>
          <w:numId w:val="20"/>
        </w:numPr>
        <w:ind w:left="1800"/>
        <w:rPr>
          <w:i/>
          <w:iCs/>
        </w:rPr>
      </w:pPr>
      <w:r w:rsidRPr="00042F14">
        <w:rPr>
          <w:i/>
          <w:iCs/>
        </w:rPr>
        <w:t xml:space="preserve">Can be optionally supported </w:t>
      </w:r>
    </w:p>
    <w:p w14:paraId="027F5E39" w14:textId="77777777" w:rsidR="00EE4E7A" w:rsidRPr="00042F14" w:rsidRDefault="00EE4E7A" w:rsidP="00EE4E7A">
      <w:pPr>
        <w:pStyle w:val="ListParagraph"/>
        <w:numPr>
          <w:ilvl w:val="1"/>
          <w:numId w:val="20"/>
        </w:numPr>
        <w:ind w:left="1080"/>
        <w:rPr>
          <w:i/>
          <w:iCs/>
        </w:rPr>
      </w:pPr>
      <w:r w:rsidRPr="00042F14">
        <w:rPr>
          <w:i/>
          <w:iCs/>
        </w:rPr>
        <w:t>NR-Unlicensed</w:t>
      </w:r>
    </w:p>
    <w:p w14:paraId="6B4E677A" w14:textId="77777777" w:rsidR="00EE4E7A" w:rsidRPr="00042F14" w:rsidRDefault="00EE4E7A" w:rsidP="00EE4E7A">
      <w:pPr>
        <w:pStyle w:val="ListParagraph"/>
        <w:numPr>
          <w:ilvl w:val="2"/>
          <w:numId w:val="20"/>
        </w:numPr>
        <w:ind w:left="1800"/>
        <w:rPr>
          <w:i/>
          <w:iCs/>
        </w:rPr>
      </w:pPr>
      <w:r w:rsidRPr="00042F14">
        <w:rPr>
          <w:i/>
          <w:iCs/>
        </w:rPr>
        <w:t>Can be optionally supported</w:t>
      </w:r>
    </w:p>
    <w:p w14:paraId="39E4AB0F" w14:textId="77777777" w:rsidR="00EE4E7A" w:rsidRPr="00042F14" w:rsidRDefault="00EE4E7A" w:rsidP="00EE4E7A">
      <w:pPr>
        <w:pStyle w:val="ListParagraph"/>
        <w:numPr>
          <w:ilvl w:val="1"/>
          <w:numId w:val="20"/>
        </w:numPr>
        <w:ind w:left="1080"/>
        <w:rPr>
          <w:i/>
          <w:iCs/>
        </w:rPr>
      </w:pPr>
      <w:r w:rsidRPr="00042F14">
        <w:rPr>
          <w:i/>
          <w:iCs/>
        </w:rPr>
        <w:t>URLLC/IIoT</w:t>
      </w:r>
    </w:p>
    <w:p w14:paraId="1483330C" w14:textId="77777777" w:rsidR="00EE4E7A" w:rsidRPr="00042F14" w:rsidRDefault="00EE4E7A" w:rsidP="00EE4E7A">
      <w:pPr>
        <w:pStyle w:val="ListParagraph"/>
        <w:numPr>
          <w:ilvl w:val="2"/>
          <w:numId w:val="20"/>
        </w:numPr>
        <w:ind w:left="1800"/>
        <w:rPr>
          <w:i/>
          <w:iCs/>
        </w:rPr>
      </w:pPr>
      <w:r w:rsidRPr="00042F14">
        <w:rPr>
          <w:i/>
          <w:iCs/>
        </w:rPr>
        <w:t>Can be optionally supported</w:t>
      </w:r>
    </w:p>
    <w:p w14:paraId="084A099C" w14:textId="77777777" w:rsidR="00EE4E7A" w:rsidRPr="00042F14" w:rsidRDefault="00EE4E7A" w:rsidP="00EE4E7A">
      <w:pPr>
        <w:pStyle w:val="ListParagraph"/>
        <w:numPr>
          <w:ilvl w:val="1"/>
          <w:numId w:val="20"/>
        </w:numPr>
        <w:ind w:left="1080"/>
        <w:rPr>
          <w:i/>
          <w:iCs/>
        </w:rPr>
      </w:pPr>
      <w:r w:rsidRPr="00042F14">
        <w:rPr>
          <w:i/>
          <w:iCs/>
        </w:rPr>
        <w:t>UE power saving</w:t>
      </w:r>
    </w:p>
    <w:p w14:paraId="1B5F6CA2" w14:textId="77777777" w:rsidR="00EE4E7A" w:rsidRPr="00042F14" w:rsidRDefault="00EE4E7A" w:rsidP="00EE4E7A">
      <w:pPr>
        <w:pStyle w:val="ListParagraph"/>
        <w:numPr>
          <w:ilvl w:val="2"/>
          <w:numId w:val="20"/>
        </w:numPr>
        <w:ind w:left="1800"/>
        <w:rPr>
          <w:i/>
          <w:iCs/>
        </w:rPr>
      </w:pPr>
      <w:r w:rsidRPr="00042F14">
        <w:rPr>
          <w:i/>
          <w:iCs/>
        </w:rPr>
        <w:t>Can be optionally supported</w:t>
      </w:r>
    </w:p>
    <w:p w14:paraId="36D736DA" w14:textId="77777777" w:rsidR="00EE4E7A" w:rsidRPr="00042F14" w:rsidRDefault="00EE4E7A" w:rsidP="00EE4E7A">
      <w:pPr>
        <w:pStyle w:val="ListParagraph"/>
        <w:numPr>
          <w:ilvl w:val="1"/>
          <w:numId w:val="20"/>
        </w:numPr>
        <w:ind w:left="1080"/>
        <w:rPr>
          <w:i/>
          <w:iCs/>
        </w:rPr>
      </w:pPr>
      <w:r w:rsidRPr="00042F14">
        <w:rPr>
          <w:i/>
          <w:iCs/>
        </w:rPr>
        <w:t>NR CLI/RIM</w:t>
      </w:r>
    </w:p>
    <w:p w14:paraId="79602547" w14:textId="77777777" w:rsidR="00EE4E7A" w:rsidRPr="00042F14" w:rsidRDefault="00EE4E7A" w:rsidP="00EE4E7A">
      <w:pPr>
        <w:pStyle w:val="ListParagraph"/>
        <w:numPr>
          <w:ilvl w:val="2"/>
          <w:numId w:val="20"/>
        </w:numPr>
        <w:ind w:left="1800"/>
        <w:rPr>
          <w:i/>
          <w:iCs/>
        </w:rPr>
      </w:pPr>
      <w:r w:rsidRPr="00042F14">
        <w:rPr>
          <w:i/>
          <w:iCs/>
        </w:rPr>
        <w:t xml:space="preserve">Can be optionally supported </w:t>
      </w:r>
    </w:p>
    <w:p w14:paraId="78831E0F" w14:textId="77777777" w:rsidR="00EE4E7A" w:rsidRPr="00042F14" w:rsidRDefault="00EE4E7A" w:rsidP="00EE4E7A">
      <w:pPr>
        <w:pStyle w:val="ListParagraph"/>
        <w:numPr>
          <w:ilvl w:val="1"/>
          <w:numId w:val="20"/>
        </w:numPr>
        <w:ind w:left="1080"/>
        <w:rPr>
          <w:i/>
          <w:iCs/>
        </w:rPr>
      </w:pPr>
      <w:r w:rsidRPr="00042F14">
        <w:rPr>
          <w:i/>
          <w:iCs/>
        </w:rPr>
        <w:t>Positioning</w:t>
      </w:r>
    </w:p>
    <w:p w14:paraId="59251CA9" w14:textId="77777777" w:rsidR="00EE4E7A" w:rsidRPr="00042F14" w:rsidRDefault="00EE4E7A" w:rsidP="00EE4E7A">
      <w:pPr>
        <w:pStyle w:val="ListParagraph"/>
        <w:numPr>
          <w:ilvl w:val="2"/>
          <w:numId w:val="20"/>
        </w:numPr>
        <w:ind w:left="1800"/>
        <w:rPr>
          <w:i/>
          <w:iCs/>
        </w:rPr>
      </w:pPr>
      <w:r w:rsidRPr="00042F14">
        <w:rPr>
          <w:i/>
          <w:iCs/>
        </w:rPr>
        <w:t>Positioning performance with reduced BW support needs further considerations and may be further considered in Rel-18</w:t>
      </w:r>
    </w:p>
    <w:p w14:paraId="7FC958EE" w14:textId="77777777" w:rsidR="00EE4E7A" w:rsidRPr="00042F14" w:rsidRDefault="00EE4E7A" w:rsidP="00EE4E7A">
      <w:pPr>
        <w:pStyle w:val="ListParagraph"/>
        <w:numPr>
          <w:ilvl w:val="1"/>
          <w:numId w:val="20"/>
        </w:numPr>
        <w:ind w:left="1080"/>
        <w:rPr>
          <w:i/>
          <w:iCs/>
        </w:rPr>
      </w:pPr>
      <w:r w:rsidRPr="00042F14">
        <w:rPr>
          <w:i/>
          <w:iCs/>
        </w:rPr>
        <w:t>V2X/ NR SL</w:t>
      </w:r>
    </w:p>
    <w:p w14:paraId="6A65A4FC" w14:textId="77777777" w:rsidR="00EE4E7A" w:rsidRPr="00042F14" w:rsidRDefault="00EE4E7A" w:rsidP="00EE4E7A">
      <w:pPr>
        <w:pStyle w:val="ListParagraph"/>
        <w:numPr>
          <w:ilvl w:val="2"/>
          <w:numId w:val="20"/>
        </w:numPr>
        <w:ind w:left="1800"/>
        <w:rPr>
          <w:i/>
          <w:iCs/>
        </w:rPr>
      </w:pPr>
      <w:r w:rsidRPr="00042F14">
        <w:rPr>
          <w:i/>
          <w:iCs/>
        </w:rPr>
        <w:t>While V2X/SL features may be supported by the same device as discussed in RAN #93-e without any BW restrictions for certain V2X bands, further studies would be necessary to before V2X/SL can be supported with BW limitations of RedCap</w:t>
      </w:r>
    </w:p>
    <w:p w14:paraId="58774192" w14:textId="77777777" w:rsidR="00EE4E7A" w:rsidRPr="00042F14" w:rsidRDefault="00EE4E7A" w:rsidP="00EE4E7A">
      <w:pPr>
        <w:pStyle w:val="ListParagraph"/>
        <w:numPr>
          <w:ilvl w:val="1"/>
          <w:numId w:val="20"/>
        </w:numPr>
        <w:ind w:left="1080"/>
        <w:rPr>
          <w:i/>
          <w:iCs/>
        </w:rPr>
      </w:pPr>
      <w:r w:rsidRPr="00042F14">
        <w:rPr>
          <w:i/>
          <w:iCs/>
        </w:rPr>
        <w:t>NR IAB</w:t>
      </w:r>
    </w:p>
    <w:p w14:paraId="721B58B3" w14:textId="77777777" w:rsidR="00EE4E7A" w:rsidRPr="00042F14" w:rsidRDefault="00EE4E7A" w:rsidP="00EE4E7A">
      <w:pPr>
        <w:pStyle w:val="ListParagraph"/>
        <w:numPr>
          <w:ilvl w:val="2"/>
          <w:numId w:val="20"/>
        </w:numPr>
        <w:ind w:left="1800"/>
        <w:rPr>
          <w:i/>
          <w:iCs/>
        </w:rPr>
      </w:pPr>
      <w:r w:rsidRPr="00042F14">
        <w:rPr>
          <w:i/>
          <w:iCs/>
        </w:rPr>
        <w:t>Not supported by RedCap UEs</w:t>
      </w:r>
    </w:p>
    <w:p w14:paraId="1E26C2FD" w14:textId="77777777" w:rsidR="00EE4E7A" w:rsidRPr="00042F14" w:rsidRDefault="00EE4E7A" w:rsidP="00EE4E7A">
      <w:pPr>
        <w:pStyle w:val="ListParagraph"/>
        <w:numPr>
          <w:ilvl w:val="1"/>
          <w:numId w:val="20"/>
        </w:numPr>
        <w:ind w:left="1080"/>
        <w:rPr>
          <w:i/>
          <w:iCs/>
        </w:rPr>
      </w:pPr>
      <w:r w:rsidRPr="00042F14">
        <w:rPr>
          <w:i/>
          <w:iCs/>
        </w:rPr>
        <w:t>Mobility enh.</w:t>
      </w:r>
    </w:p>
    <w:p w14:paraId="50133668" w14:textId="77777777" w:rsidR="00EE4E7A" w:rsidRDefault="00EE4E7A" w:rsidP="00EE4E7A">
      <w:pPr>
        <w:pStyle w:val="ListParagraph"/>
        <w:numPr>
          <w:ilvl w:val="2"/>
          <w:numId w:val="20"/>
        </w:numPr>
        <w:ind w:left="1800"/>
        <w:rPr>
          <w:i/>
          <w:iCs/>
        </w:rPr>
      </w:pPr>
      <w:r w:rsidRPr="00042F14">
        <w:rPr>
          <w:i/>
          <w:iCs/>
        </w:rPr>
        <w:t>Not supported by RedCap UEs since Rel-16 mobility enhancements features assume support of DAPS which is not applicable to RedCap UEs</w:t>
      </w:r>
    </w:p>
    <w:p w14:paraId="04D23F58" w14:textId="48BA281C" w:rsidR="00EE4E7A" w:rsidRPr="006F103D" w:rsidRDefault="00EE4E7A" w:rsidP="00EE4E7A">
      <w:pPr>
        <w:autoSpaceDE/>
        <w:autoSpaceDN/>
        <w:adjustRightInd/>
        <w:snapToGrid/>
        <w:spacing w:after="160" w:line="259" w:lineRule="auto"/>
        <w:jc w:val="left"/>
        <w:rPr>
          <w:b/>
          <w:bCs/>
          <w:lang w:eastAsia="x-none"/>
        </w:rPr>
      </w:pPr>
      <w:r w:rsidRPr="006F103D">
        <w:rPr>
          <w:b/>
          <w:bCs/>
          <w:lang w:eastAsia="x-none"/>
        </w:rPr>
        <w:t xml:space="preserve">Proposal </w:t>
      </w:r>
      <w:r w:rsidR="00E10FB8">
        <w:rPr>
          <w:b/>
          <w:bCs/>
          <w:lang w:eastAsia="x-none"/>
        </w:rPr>
        <w:t>5</w:t>
      </w:r>
      <w:r w:rsidRPr="006F103D">
        <w:rPr>
          <w:b/>
          <w:bCs/>
          <w:lang w:eastAsia="x-none"/>
        </w:rPr>
        <w:t>:</w:t>
      </w:r>
    </w:p>
    <w:p w14:paraId="10D4BC7B" w14:textId="16D6C6E8" w:rsidR="00EE4E7A" w:rsidRPr="000B1C23" w:rsidRDefault="000B1C23" w:rsidP="000B1C23">
      <w:pPr>
        <w:pStyle w:val="ListParagraph"/>
        <w:numPr>
          <w:ilvl w:val="0"/>
          <w:numId w:val="20"/>
        </w:numPr>
        <w:autoSpaceDE/>
        <w:autoSpaceDN/>
        <w:adjustRightInd/>
        <w:snapToGrid/>
        <w:spacing w:after="160" w:line="259" w:lineRule="auto"/>
        <w:ind w:left="360"/>
        <w:jc w:val="left"/>
        <w:rPr>
          <w:i/>
          <w:iCs/>
          <w:lang w:eastAsia="x-none"/>
        </w:rPr>
      </w:pPr>
      <w:r w:rsidRPr="00AD7984">
        <w:rPr>
          <w:i/>
          <w:iCs/>
          <w:lang w:eastAsia="x-none"/>
        </w:rPr>
        <w:t>At least FG # 6-1 should be adapted for RedCap UEs such that operation without CORESET #0 within the active DL BWP</w:t>
      </w:r>
      <w:r>
        <w:rPr>
          <w:i/>
          <w:iCs/>
          <w:lang w:eastAsia="x-none"/>
        </w:rPr>
        <w:t xml:space="preserve"> is mandated for RedCap UEs</w:t>
      </w:r>
      <w:r w:rsidR="00EE4E7A" w:rsidRPr="000B1C23">
        <w:rPr>
          <w:i/>
          <w:iCs/>
          <w:lang w:eastAsia="x-none"/>
        </w:rPr>
        <w:t>.</w:t>
      </w:r>
    </w:p>
    <w:p w14:paraId="6A7F08CD" w14:textId="3500BB1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2C1750C7" w:rsidR="00AB54CC"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we present</w:t>
      </w:r>
      <w:r w:rsidR="006C1C2B">
        <w:rPr>
          <w:sz w:val="22"/>
          <w:szCs w:val="28"/>
        </w:rPr>
        <w:t>ed</w:t>
      </w:r>
      <w:r w:rsidR="006C1C2B" w:rsidRPr="006C1C2B">
        <w:rPr>
          <w:sz w:val="22"/>
          <w:szCs w:val="28"/>
        </w:rPr>
        <w:t xml:space="preserve"> our views on </w:t>
      </w:r>
      <w:r w:rsidR="00706846">
        <w:rPr>
          <w:sz w:val="22"/>
          <w:szCs w:val="28"/>
        </w:rPr>
        <w:t>UE features for Rel-17 RedCap.</w:t>
      </w:r>
    </w:p>
    <w:p w14:paraId="72E1D624" w14:textId="43C69D12" w:rsidR="00527A5F" w:rsidRDefault="00C8002A" w:rsidP="00C76B23">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071485">
        <w:rPr>
          <w:sz w:val="22"/>
          <w:szCs w:val="28"/>
        </w:rPr>
        <w:t>proposals</w:t>
      </w:r>
      <w:r w:rsidR="00C9648B" w:rsidRPr="00C9648B">
        <w:rPr>
          <w:sz w:val="22"/>
          <w:szCs w:val="28"/>
        </w:rPr>
        <w:t xml:space="preserve"> </w:t>
      </w:r>
      <w:r w:rsidR="00C9648B">
        <w:rPr>
          <w:sz w:val="22"/>
          <w:szCs w:val="28"/>
        </w:rPr>
        <w:t>and</w:t>
      </w:r>
      <w:r w:rsidR="00C9648B" w:rsidRPr="00C9648B">
        <w:rPr>
          <w:sz w:val="22"/>
          <w:szCs w:val="28"/>
        </w:rPr>
        <w:t xml:space="preserve"> </w:t>
      </w:r>
      <w:r w:rsidR="00C9648B">
        <w:rPr>
          <w:sz w:val="22"/>
          <w:szCs w:val="28"/>
        </w:rPr>
        <w:t>observation</w:t>
      </w:r>
      <w:r w:rsidR="00082893">
        <w:rPr>
          <w:sz w:val="22"/>
          <w:szCs w:val="28"/>
        </w:rPr>
        <w:t>s</w:t>
      </w:r>
      <w:r w:rsidR="00C9648B">
        <w:rPr>
          <w:sz w:val="22"/>
          <w:szCs w:val="28"/>
        </w:rPr>
        <w:t>.</w:t>
      </w:r>
    </w:p>
    <w:p w14:paraId="1DD7D731" w14:textId="77777777" w:rsidR="00D178D0" w:rsidRDefault="00D178D0" w:rsidP="00D178D0">
      <w:pPr>
        <w:rPr>
          <w:b/>
          <w:u w:val="single"/>
        </w:rPr>
      </w:pPr>
    </w:p>
    <w:p w14:paraId="0733B23F" w14:textId="77777777" w:rsidR="00706846" w:rsidRPr="006F103D" w:rsidRDefault="00706846" w:rsidP="00706846">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1</w:t>
      </w:r>
      <w:r w:rsidRPr="006F103D">
        <w:rPr>
          <w:b/>
          <w:bCs/>
          <w:lang w:eastAsia="x-none"/>
        </w:rPr>
        <w:t>:</w:t>
      </w:r>
    </w:p>
    <w:p w14:paraId="6549D255" w14:textId="77777777" w:rsidR="00706846" w:rsidRDefault="00706846" w:rsidP="00706846">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Confirm the type for the following Rel-17 FGs for RedCap as “per band”:</w:t>
      </w:r>
    </w:p>
    <w:p w14:paraId="5C16F09A" w14:textId="77777777" w:rsidR="00706846" w:rsidRPr="00157B95" w:rsidRDefault="00706846" w:rsidP="00706846">
      <w:pPr>
        <w:pStyle w:val="ListParagraph"/>
        <w:numPr>
          <w:ilvl w:val="1"/>
          <w:numId w:val="20"/>
        </w:numPr>
        <w:ind w:left="1080"/>
        <w:rPr>
          <w:i/>
          <w:iCs/>
        </w:rPr>
      </w:pPr>
      <w:r w:rsidRPr="00157B95">
        <w:rPr>
          <w:i/>
          <w:iCs/>
        </w:rPr>
        <w:t>FG</w:t>
      </w:r>
      <w:r>
        <w:rPr>
          <w:i/>
          <w:iCs/>
        </w:rPr>
        <w:t>s</w:t>
      </w:r>
      <w:r w:rsidRPr="00157B95">
        <w:rPr>
          <w:i/>
          <w:iCs/>
        </w:rPr>
        <w:t xml:space="preserve"> </w:t>
      </w:r>
      <w:r>
        <w:rPr>
          <w:i/>
          <w:iCs/>
        </w:rPr>
        <w:t>#28-2, 28-3, 28-4, 28-5.</w:t>
      </w:r>
    </w:p>
    <w:p w14:paraId="77192918" w14:textId="77777777" w:rsidR="00706846" w:rsidRPr="00011D4C" w:rsidRDefault="00706846" w:rsidP="00706846">
      <w:pPr>
        <w:rPr>
          <w:b/>
          <w:bCs/>
        </w:rPr>
      </w:pPr>
      <w:r w:rsidRPr="00011D4C">
        <w:rPr>
          <w:b/>
          <w:bCs/>
        </w:rPr>
        <w:t xml:space="preserve">Observation </w:t>
      </w:r>
      <w:r>
        <w:rPr>
          <w:b/>
          <w:bCs/>
        </w:rPr>
        <w:t>1</w:t>
      </w:r>
      <w:r w:rsidRPr="00011D4C">
        <w:rPr>
          <w:b/>
          <w:bCs/>
        </w:rPr>
        <w:t xml:space="preserve">: </w:t>
      </w:r>
    </w:p>
    <w:p w14:paraId="1B4A862A" w14:textId="77777777" w:rsidR="00706846" w:rsidRPr="00011D4C" w:rsidRDefault="00706846" w:rsidP="00706846">
      <w:pPr>
        <w:pStyle w:val="ListParagraph"/>
        <w:numPr>
          <w:ilvl w:val="0"/>
          <w:numId w:val="16"/>
        </w:numPr>
        <w:autoSpaceDE/>
        <w:autoSpaceDN/>
        <w:adjustRightInd/>
        <w:snapToGrid/>
        <w:spacing w:after="160" w:line="259" w:lineRule="auto"/>
        <w:jc w:val="left"/>
        <w:rPr>
          <w:i/>
          <w:iCs/>
          <w:lang w:eastAsia="x-none"/>
        </w:rPr>
      </w:pPr>
      <w:r w:rsidRPr="00011D4C">
        <w:rPr>
          <w:i/>
          <w:iCs/>
          <w:lang w:eastAsia="x-none"/>
        </w:rPr>
        <w:t xml:space="preserve">Barring exceptions, the UE capabilities defined in </w:t>
      </w:r>
      <w:r>
        <w:rPr>
          <w:i/>
          <w:iCs/>
          <w:lang w:eastAsia="x-none"/>
        </w:rPr>
        <w:t xml:space="preserve">TS </w:t>
      </w:r>
      <w:r w:rsidRPr="00011D4C">
        <w:rPr>
          <w:i/>
          <w:iCs/>
          <w:lang w:eastAsia="x-none"/>
        </w:rPr>
        <w:t xml:space="preserve">38.306 for non-RedCap UEs, would apply for RedCap UEs. Four categories of exceptions: </w:t>
      </w:r>
    </w:p>
    <w:p w14:paraId="1509CA42" w14:textId="77777777" w:rsidR="00706846" w:rsidRPr="00011D4C" w:rsidRDefault="00706846" w:rsidP="00706846">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Mandatory capabilities (for non-RedCap) may be made optional or not supported at all, if any</w:t>
      </w:r>
    </w:p>
    <w:p w14:paraId="33A10704" w14:textId="77777777" w:rsidR="00706846" w:rsidRPr="00011D4C" w:rsidRDefault="00706846" w:rsidP="00706846">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Optional capabilities (for non-RedCap) may be made mandatory for RedCap UE, if any</w:t>
      </w:r>
    </w:p>
    <w:p w14:paraId="4396F168" w14:textId="77777777" w:rsidR="00706846" w:rsidRDefault="00706846" w:rsidP="00706846">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Mandatory/optional capability (for non-RedCap) that may be modified in terms of supported values to report or additional/modifications to conditions for RedCap UEs, if any</w:t>
      </w:r>
    </w:p>
    <w:p w14:paraId="10B7EB2A" w14:textId="77777777" w:rsidR="00706846" w:rsidRPr="00011D4C" w:rsidRDefault="00706846" w:rsidP="00706846">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lastRenderedPageBreak/>
        <w:t>New capabilities for RedCap UEs (mandatory or optional) that may not be available for non-RedCap UEs</w:t>
      </w:r>
      <w:r>
        <w:rPr>
          <w:i/>
          <w:iCs/>
          <w:lang w:eastAsia="x-none"/>
        </w:rPr>
        <w:t>.</w:t>
      </w:r>
      <w:r w:rsidRPr="00011D4C">
        <w:rPr>
          <w:i/>
          <w:iCs/>
          <w:lang w:eastAsia="x-none"/>
        </w:rPr>
        <w:t xml:space="preserve"> </w:t>
      </w:r>
    </w:p>
    <w:p w14:paraId="7AC56F90" w14:textId="77777777" w:rsidR="00706846" w:rsidRPr="00011D4C" w:rsidRDefault="00706846" w:rsidP="00706846">
      <w:pPr>
        <w:rPr>
          <w:b/>
          <w:bCs/>
        </w:rPr>
      </w:pPr>
      <w:r w:rsidRPr="00011D4C">
        <w:rPr>
          <w:b/>
          <w:bCs/>
        </w:rPr>
        <w:t xml:space="preserve">Observation </w:t>
      </w:r>
      <w:r>
        <w:rPr>
          <w:b/>
          <w:bCs/>
        </w:rPr>
        <w:t>2</w:t>
      </w:r>
      <w:r w:rsidRPr="00011D4C">
        <w:rPr>
          <w:b/>
          <w:bCs/>
        </w:rPr>
        <w:t xml:space="preserve">: </w:t>
      </w:r>
    </w:p>
    <w:p w14:paraId="0355E831" w14:textId="77777777" w:rsidR="00706846" w:rsidRPr="00011D4C" w:rsidRDefault="00706846" w:rsidP="00706846">
      <w:pPr>
        <w:pStyle w:val="ListParagraph"/>
        <w:numPr>
          <w:ilvl w:val="0"/>
          <w:numId w:val="16"/>
        </w:numPr>
        <w:autoSpaceDE/>
        <w:autoSpaceDN/>
        <w:adjustRightInd/>
        <w:snapToGrid/>
        <w:spacing w:after="160" w:line="259" w:lineRule="auto"/>
        <w:jc w:val="left"/>
        <w:rPr>
          <w:i/>
          <w:iCs/>
          <w:lang w:eastAsia="x-none"/>
        </w:rPr>
      </w:pPr>
      <w:r>
        <w:rPr>
          <w:i/>
          <w:iCs/>
          <w:lang w:eastAsia="x-none"/>
        </w:rPr>
        <w:t>In addition to new Rel-17 UE features for RedCap devices, various Rel-15 and Rel-16 features are expected to need adaptations and adjustments in terms of their applicability to Rel-17 RedCap UEs.</w:t>
      </w:r>
    </w:p>
    <w:p w14:paraId="11B96377" w14:textId="77777777" w:rsidR="00706846" w:rsidRPr="006F103D" w:rsidRDefault="00706846" w:rsidP="00706846">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2</w:t>
      </w:r>
      <w:r w:rsidRPr="006F103D">
        <w:rPr>
          <w:b/>
          <w:bCs/>
          <w:lang w:eastAsia="x-none"/>
        </w:rPr>
        <w:t>:</w:t>
      </w:r>
    </w:p>
    <w:p w14:paraId="10298089" w14:textId="77777777" w:rsidR="00706846" w:rsidRPr="00042F14" w:rsidRDefault="00706846" w:rsidP="00706846">
      <w:pPr>
        <w:pStyle w:val="ListParagraph"/>
        <w:numPr>
          <w:ilvl w:val="0"/>
          <w:numId w:val="20"/>
        </w:numPr>
        <w:autoSpaceDE/>
        <w:autoSpaceDN/>
        <w:adjustRightInd/>
        <w:snapToGrid/>
        <w:spacing w:after="160" w:line="259" w:lineRule="auto"/>
        <w:ind w:left="360"/>
        <w:jc w:val="left"/>
        <w:rPr>
          <w:i/>
          <w:iCs/>
          <w:lang w:eastAsia="x-none"/>
        </w:rPr>
      </w:pPr>
      <w:r w:rsidRPr="00042F14">
        <w:rPr>
          <w:i/>
          <w:iCs/>
          <w:lang w:eastAsia="x-none"/>
        </w:rPr>
        <w:t xml:space="preserve">The following Rel-15 features related to CA/DC are </w:t>
      </w:r>
      <w:r>
        <w:rPr>
          <w:i/>
          <w:iCs/>
          <w:lang w:eastAsia="x-none"/>
        </w:rPr>
        <w:t>NOT</w:t>
      </w:r>
      <w:r w:rsidRPr="00042F14">
        <w:rPr>
          <w:i/>
          <w:iCs/>
          <w:lang w:eastAsia="x-none"/>
        </w:rPr>
        <w:t xml:space="preserve"> applicable for RedCap UEs:</w:t>
      </w:r>
    </w:p>
    <w:p w14:paraId="2334B301" w14:textId="77777777" w:rsidR="00706846" w:rsidRPr="00042F14" w:rsidRDefault="00706846" w:rsidP="00706846">
      <w:pPr>
        <w:pStyle w:val="ListParagraph"/>
        <w:numPr>
          <w:ilvl w:val="1"/>
          <w:numId w:val="20"/>
        </w:numPr>
        <w:ind w:left="1080"/>
        <w:rPr>
          <w:i/>
          <w:iCs/>
        </w:rPr>
      </w:pPr>
      <w:r w:rsidRPr="00042F14">
        <w:rPr>
          <w:i/>
          <w:iCs/>
        </w:rPr>
        <w:t>FGs #6-5, 6-5a, 6-6, 6-7, 6-8, 6-9, 6-9a, 6-10, 6-10a, 6-11, 6-12, 6-13, 6-19, 6-21, 6-22, 6-23, 6-24, 6-25, 6-25a</w:t>
      </w:r>
    </w:p>
    <w:p w14:paraId="37C3FFC9" w14:textId="77777777" w:rsidR="00706846" w:rsidRPr="00042F14" w:rsidRDefault="00706846" w:rsidP="00706846">
      <w:pPr>
        <w:pStyle w:val="ListParagraph"/>
        <w:numPr>
          <w:ilvl w:val="2"/>
          <w:numId w:val="20"/>
        </w:numPr>
        <w:ind w:left="1800"/>
        <w:rPr>
          <w:i/>
          <w:iCs/>
        </w:rPr>
      </w:pPr>
      <w:r w:rsidRPr="00042F14">
        <w:rPr>
          <w:i/>
          <w:iCs/>
        </w:rPr>
        <w:t>Relevant to CA/DC support</w:t>
      </w:r>
    </w:p>
    <w:p w14:paraId="7538945D" w14:textId="77777777" w:rsidR="00706846" w:rsidRPr="00042F14" w:rsidRDefault="00706846" w:rsidP="00706846">
      <w:pPr>
        <w:pStyle w:val="ListParagraph"/>
        <w:numPr>
          <w:ilvl w:val="1"/>
          <w:numId w:val="20"/>
        </w:numPr>
        <w:ind w:left="1080"/>
        <w:rPr>
          <w:i/>
          <w:iCs/>
        </w:rPr>
      </w:pPr>
      <w:r w:rsidRPr="00042F14">
        <w:rPr>
          <w:i/>
          <w:iCs/>
        </w:rPr>
        <w:t>FGs # 8-1, #8-2</w:t>
      </w:r>
    </w:p>
    <w:p w14:paraId="16A0A587" w14:textId="77777777" w:rsidR="00706846" w:rsidRPr="00042F14" w:rsidRDefault="00706846" w:rsidP="00706846">
      <w:pPr>
        <w:pStyle w:val="ListParagraph"/>
        <w:numPr>
          <w:ilvl w:val="2"/>
          <w:numId w:val="20"/>
        </w:numPr>
        <w:ind w:left="1800"/>
        <w:rPr>
          <w:i/>
          <w:iCs/>
        </w:rPr>
      </w:pPr>
      <w:r w:rsidRPr="00042F14">
        <w:rPr>
          <w:i/>
          <w:iCs/>
        </w:rPr>
        <w:t>Relevant to EN-DC support</w:t>
      </w:r>
    </w:p>
    <w:p w14:paraId="5696925C" w14:textId="77777777" w:rsidR="00706846" w:rsidRPr="006F103D" w:rsidRDefault="00706846" w:rsidP="00706846">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3</w:t>
      </w:r>
      <w:r w:rsidRPr="006F103D">
        <w:rPr>
          <w:b/>
          <w:bCs/>
          <w:lang w:eastAsia="x-none"/>
        </w:rPr>
        <w:t>:</w:t>
      </w:r>
    </w:p>
    <w:p w14:paraId="6979C430" w14:textId="77777777" w:rsidR="00706846" w:rsidRDefault="00706846" w:rsidP="00706846">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The following Rel-15 features related to MIMO features are NOT applicable for RedCap UEs</w:t>
      </w:r>
      <w:r w:rsidRPr="006F103D">
        <w:rPr>
          <w:i/>
          <w:iCs/>
          <w:lang w:eastAsia="x-none"/>
        </w:rPr>
        <w:t>:</w:t>
      </w:r>
    </w:p>
    <w:p w14:paraId="7F684D6F" w14:textId="77777777" w:rsidR="00706846" w:rsidRPr="00042F14" w:rsidRDefault="00706846" w:rsidP="00706846">
      <w:pPr>
        <w:pStyle w:val="ListParagraph"/>
        <w:numPr>
          <w:ilvl w:val="1"/>
          <w:numId w:val="20"/>
        </w:numPr>
        <w:ind w:left="1080"/>
        <w:rPr>
          <w:i/>
          <w:iCs/>
        </w:rPr>
      </w:pPr>
      <w:r w:rsidRPr="00042F14">
        <w:rPr>
          <w:i/>
          <w:iCs/>
        </w:rPr>
        <w:t>FG #2-16b (Support 1+2 DMRS (uplink))</w:t>
      </w:r>
    </w:p>
    <w:p w14:paraId="5F6FA005" w14:textId="77777777" w:rsidR="00706846" w:rsidRPr="00042F14" w:rsidRDefault="00706846" w:rsidP="00706846">
      <w:pPr>
        <w:pStyle w:val="ListParagraph"/>
        <w:numPr>
          <w:ilvl w:val="2"/>
          <w:numId w:val="20"/>
        </w:numPr>
        <w:ind w:left="1800"/>
        <w:rPr>
          <w:i/>
          <w:iCs/>
        </w:rPr>
      </w:pPr>
      <w:r w:rsidRPr="00042F14">
        <w:rPr>
          <w:i/>
          <w:iCs/>
        </w:rPr>
        <w:t>Relevant to support of more than one antenna port in the UL</w:t>
      </w:r>
    </w:p>
    <w:p w14:paraId="585AD407" w14:textId="77777777" w:rsidR="00706846" w:rsidRPr="00042F14" w:rsidRDefault="00706846" w:rsidP="00706846">
      <w:pPr>
        <w:pStyle w:val="ListParagraph"/>
        <w:numPr>
          <w:ilvl w:val="1"/>
          <w:numId w:val="20"/>
        </w:numPr>
        <w:ind w:left="1080"/>
        <w:rPr>
          <w:i/>
          <w:iCs/>
        </w:rPr>
      </w:pPr>
      <w:r w:rsidRPr="00042F14">
        <w:rPr>
          <w:i/>
          <w:iCs/>
        </w:rPr>
        <w:t>FG #2-55 (SRS Tx switch)</w:t>
      </w:r>
    </w:p>
    <w:p w14:paraId="2F85062F" w14:textId="77777777" w:rsidR="00706846" w:rsidRPr="00042F14" w:rsidRDefault="00706846" w:rsidP="00706846">
      <w:pPr>
        <w:pStyle w:val="ListParagraph"/>
        <w:numPr>
          <w:ilvl w:val="2"/>
          <w:numId w:val="20"/>
        </w:numPr>
        <w:ind w:left="1800"/>
        <w:rPr>
          <w:i/>
          <w:iCs/>
        </w:rPr>
      </w:pPr>
      <w:r w:rsidRPr="00042F14">
        <w:rPr>
          <w:i/>
          <w:iCs/>
        </w:rPr>
        <w:t>Relevant to support of multiple UL APs</w:t>
      </w:r>
    </w:p>
    <w:p w14:paraId="1D4AF34C" w14:textId="77777777" w:rsidR="00706846" w:rsidRPr="00042F14" w:rsidRDefault="00706846" w:rsidP="00706846">
      <w:pPr>
        <w:pStyle w:val="ListParagraph"/>
        <w:numPr>
          <w:ilvl w:val="1"/>
          <w:numId w:val="20"/>
        </w:numPr>
        <w:ind w:left="1080"/>
        <w:rPr>
          <w:i/>
          <w:iCs/>
        </w:rPr>
      </w:pPr>
      <w:r w:rsidRPr="00042F14">
        <w:rPr>
          <w:i/>
          <w:iCs/>
        </w:rPr>
        <w:t>FG #4-12 (HARQ-ACK spatial bundling for PUCCH or PUSCH per PUCCH group)</w:t>
      </w:r>
    </w:p>
    <w:p w14:paraId="5F646341" w14:textId="77777777" w:rsidR="00706846" w:rsidRPr="00042F14" w:rsidRDefault="00706846" w:rsidP="00706846">
      <w:pPr>
        <w:pStyle w:val="ListParagraph"/>
        <w:numPr>
          <w:ilvl w:val="2"/>
          <w:numId w:val="20"/>
        </w:numPr>
        <w:ind w:left="1800"/>
        <w:rPr>
          <w:i/>
          <w:iCs/>
        </w:rPr>
      </w:pPr>
      <w:r w:rsidRPr="00042F14">
        <w:rPr>
          <w:i/>
          <w:iCs/>
        </w:rPr>
        <w:t>Relevant to support of &gt; 4 layers in the DL</w:t>
      </w:r>
    </w:p>
    <w:p w14:paraId="29409ABE" w14:textId="77777777" w:rsidR="00706846" w:rsidRPr="006F103D" w:rsidRDefault="00706846" w:rsidP="00706846">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4</w:t>
      </w:r>
      <w:r w:rsidRPr="006F103D">
        <w:rPr>
          <w:b/>
          <w:bCs/>
          <w:lang w:eastAsia="x-none"/>
        </w:rPr>
        <w:t>:</w:t>
      </w:r>
    </w:p>
    <w:p w14:paraId="2E7D349B" w14:textId="77777777" w:rsidR="00706846" w:rsidRDefault="00706846" w:rsidP="00706846">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Applicability of some of the Rel-16 features for RedCap UEs is as follows:</w:t>
      </w:r>
    </w:p>
    <w:p w14:paraId="1457E006" w14:textId="77777777" w:rsidR="00706846" w:rsidRPr="00042F14" w:rsidRDefault="00706846" w:rsidP="00706846">
      <w:pPr>
        <w:pStyle w:val="ListParagraph"/>
        <w:numPr>
          <w:ilvl w:val="1"/>
          <w:numId w:val="20"/>
        </w:numPr>
        <w:ind w:left="1080"/>
        <w:rPr>
          <w:i/>
          <w:iCs/>
        </w:rPr>
      </w:pPr>
      <w:r w:rsidRPr="00042F14">
        <w:rPr>
          <w:i/>
          <w:iCs/>
        </w:rPr>
        <w:t>2-step RACH</w:t>
      </w:r>
    </w:p>
    <w:p w14:paraId="0A3A0520" w14:textId="77777777" w:rsidR="00706846" w:rsidRPr="00042F14" w:rsidRDefault="00706846" w:rsidP="00706846">
      <w:pPr>
        <w:pStyle w:val="ListParagraph"/>
        <w:numPr>
          <w:ilvl w:val="2"/>
          <w:numId w:val="20"/>
        </w:numPr>
        <w:ind w:left="1800"/>
        <w:rPr>
          <w:i/>
          <w:iCs/>
        </w:rPr>
      </w:pPr>
      <w:r w:rsidRPr="00042F14">
        <w:rPr>
          <w:i/>
          <w:iCs/>
        </w:rPr>
        <w:t xml:space="preserve">Can be optionally supported </w:t>
      </w:r>
    </w:p>
    <w:p w14:paraId="6EE33FEA" w14:textId="77777777" w:rsidR="00706846" w:rsidRPr="00042F14" w:rsidRDefault="00706846" w:rsidP="00706846">
      <w:pPr>
        <w:pStyle w:val="ListParagraph"/>
        <w:numPr>
          <w:ilvl w:val="1"/>
          <w:numId w:val="20"/>
        </w:numPr>
        <w:ind w:left="1080"/>
        <w:rPr>
          <w:i/>
          <w:iCs/>
        </w:rPr>
      </w:pPr>
      <w:r w:rsidRPr="00042F14">
        <w:rPr>
          <w:i/>
          <w:iCs/>
        </w:rPr>
        <w:t>NR-Unlicensed</w:t>
      </w:r>
    </w:p>
    <w:p w14:paraId="1F17E30E" w14:textId="77777777" w:rsidR="00706846" w:rsidRPr="00042F14" w:rsidRDefault="00706846" w:rsidP="00706846">
      <w:pPr>
        <w:pStyle w:val="ListParagraph"/>
        <w:numPr>
          <w:ilvl w:val="2"/>
          <w:numId w:val="20"/>
        </w:numPr>
        <w:ind w:left="1800"/>
        <w:rPr>
          <w:i/>
          <w:iCs/>
        </w:rPr>
      </w:pPr>
      <w:r w:rsidRPr="00042F14">
        <w:rPr>
          <w:i/>
          <w:iCs/>
        </w:rPr>
        <w:t>Can be optionally supported</w:t>
      </w:r>
    </w:p>
    <w:p w14:paraId="726E4B0D" w14:textId="77777777" w:rsidR="00706846" w:rsidRPr="00042F14" w:rsidRDefault="00706846" w:rsidP="00706846">
      <w:pPr>
        <w:pStyle w:val="ListParagraph"/>
        <w:numPr>
          <w:ilvl w:val="1"/>
          <w:numId w:val="20"/>
        </w:numPr>
        <w:ind w:left="1080"/>
        <w:rPr>
          <w:i/>
          <w:iCs/>
        </w:rPr>
      </w:pPr>
      <w:r w:rsidRPr="00042F14">
        <w:rPr>
          <w:i/>
          <w:iCs/>
        </w:rPr>
        <w:t>URLLC/IIoT</w:t>
      </w:r>
    </w:p>
    <w:p w14:paraId="0C42300E" w14:textId="77777777" w:rsidR="00706846" w:rsidRPr="00042F14" w:rsidRDefault="00706846" w:rsidP="00706846">
      <w:pPr>
        <w:pStyle w:val="ListParagraph"/>
        <w:numPr>
          <w:ilvl w:val="2"/>
          <w:numId w:val="20"/>
        </w:numPr>
        <w:ind w:left="1800"/>
        <w:rPr>
          <w:i/>
          <w:iCs/>
        </w:rPr>
      </w:pPr>
      <w:r w:rsidRPr="00042F14">
        <w:rPr>
          <w:i/>
          <w:iCs/>
        </w:rPr>
        <w:t>Can be optionally supported</w:t>
      </w:r>
    </w:p>
    <w:p w14:paraId="623A4627" w14:textId="77777777" w:rsidR="00706846" w:rsidRPr="00042F14" w:rsidRDefault="00706846" w:rsidP="00706846">
      <w:pPr>
        <w:pStyle w:val="ListParagraph"/>
        <w:numPr>
          <w:ilvl w:val="1"/>
          <w:numId w:val="20"/>
        </w:numPr>
        <w:ind w:left="1080"/>
        <w:rPr>
          <w:i/>
          <w:iCs/>
        </w:rPr>
      </w:pPr>
      <w:r w:rsidRPr="00042F14">
        <w:rPr>
          <w:i/>
          <w:iCs/>
        </w:rPr>
        <w:t>UE power saving</w:t>
      </w:r>
    </w:p>
    <w:p w14:paraId="70A2216E" w14:textId="77777777" w:rsidR="00706846" w:rsidRPr="00042F14" w:rsidRDefault="00706846" w:rsidP="00706846">
      <w:pPr>
        <w:pStyle w:val="ListParagraph"/>
        <w:numPr>
          <w:ilvl w:val="2"/>
          <w:numId w:val="20"/>
        </w:numPr>
        <w:ind w:left="1800"/>
        <w:rPr>
          <w:i/>
          <w:iCs/>
        </w:rPr>
      </w:pPr>
      <w:r w:rsidRPr="00042F14">
        <w:rPr>
          <w:i/>
          <w:iCs/>
        </w:rPr>
        <w:t>Can be optionally supported</w:t>
      </w:r>
    </w:p>
    <w:p w14:paraId="16E95BF2" w14:textId="77777777" w:rsidR="00706846" w:rsidRPr="00042F14" w:rsidRDefault="00706846" w:rsidP="00706846">
      <w:pPr>
        <w:pStyle w:val="ListParagraph"/>
        <w:numPr>
          <w:ilvl w:val="1"/>
          <w:numId w:val="20"/>
        </w:numPr>
        <w:ind w:left="1080"/>
        <w:rPr>
          <w:i/>
          <w:iCs/>
        </w:rPr>
      </w:pPr>
      <w:r w:rsidRPr="00042F14">
        <w:rPr>
          <w:i/>
          <w:iCs/>
        </w:rPr>
        <w:t>NR CLI/RIM</w:t>
      </w:r>
    </w:p>
    <w:p w14:paraId="11790472" w14:textId="77777777" w:rsidR="00706846" w:rsidRPr="00042F14" w:rsidRDefault="00706846" w:rsidP="00706846">
      <w:pPr>
        <w:pStyle w:val="ListParagraph"/>
        <w:numPr>
          <w:ilvl w:val="2"/>
          <w:numId w:val="20"/>
        </w:numPr>
        <w:ind w:left="1800"/>
        <w:rPr>
          <w:i/>
          <w:iCs/>
        </w:rPr>
      </w:pPr>
      <w:r w:rsidRPr="00042F14">
        <w:rPr>
          <w:i/>
          <w:iCs/>
        </w:rPr>
        <w:t xml:space="preserve">Can be optionally supported </w:t>
      </w:r>
    </w:p>
    <w:p w14:paraId="6AAC3F5C" w14:textId="77777777" w:rsidR="00706846" w:rsidRPr="00042F14" w:rsidRDefault="00706846" w:rsidP="00706846">
      <w:pPr>
        <w:pStyle w:val="ListParagraph"/>
        <w:numPr>
          <w:ilvl w:val="1"/>
          <w:numId w:val="20"/>
        </w:numPr>
        <w:ind w:left="1080"/>
        <w:rPr>
          <w:i/>
          <w:iCs/>
        </w:rPr>
      </w:pPr>
      <w:r w:rsidRPr="00042F14">
        <w:rPr>
          <w:i/>
          <w:iCs/>
        </w:rPr>
        <w:t>Positioning</w:t>
      </w:r>
    </w:p>
    <w:p w14:paraId="6D07A43B" w14:textId="77777777" w:rsidR="00706846" w:rsidRPr="00042F14" w:rsidRDefault="00706846" w:rsidP="00706846">
      <w:pPr>
        <w:pStyle w:val="ListParagraph"/>
        <w:numPr>
          <w:ilvl w:val="2"/>
          <w:numId w:val="20"/>
        </w:numPr>
        <w:ind w:left="1800"/>
        <w:rPr>
          <w:i/>
          <w:iCs/>
        </w:rPr>
      </w:pPr>
      <w:r w:rsidRPr="00042F14">
        <w:rPr>
          <w:i/>
          <w:iCs/>
        </w:rPr>
        <w:t>Positioning performance with reduced BW support needs further considerations and may be further considered in Rel-18</w:t>
      </w:r>
    </w:p>
    <w:p w14:paraId="59345648" w14:textId="77777777" w:rsidR="00706846" w:rsidRPr="00042F14" w:rsidRDefault="00706846" w:rsidP="00706846">
      <w:pPr>
        <w:pStyle w:val="ListParagraph"/>
        <w:numPr>
          <w:ilvl w:val="1"/>
          <w:numId w:val="20"/>
        </w:numPr>
        <w:ind w:left="1080"/>
        <w:rPr>
          <w:i/>
          <w:iCs/>
        </w:rPr>
      </w:pPr>
      <w:r w:rsidRPr="00042F14">
        <w:rPr>
          <w:i/>
          <w:iCs/>
        </w:rPr>
        <w:t>V2X/ NR SL</w:t>
      </w:r>
    </w:p>
    <w:p w14:paraId="47DEE2E5" w14:textId="77777777" w:rsidR="00706846" w:rsidRPr="00042F14" w:rsidRDefault="00706846" w:rsidP="00706846">
      <w:pPr>
        <w:pStyle w:val="ListParagraph"/>
        <w:numPr>
          <w:ilvl w:val="2"/>
          <w:numId w:val="20"/>
        </w:numPr>
        <w:ind w:left="1800"/>
        <w:rPr>
          <w:i/>
          <w:iCs/>
        </w:rPr>
      </w:pPr>
      <w:r w:rsidRPr="00042F14">
        <w:rPr>
          <w:i/>
          <w:iCs/>
        </w:rPr>
        <w:t>While V2X/SL features may be supported by the same device as discussed in RAN #93-e without any BW restrictions for certain V2X bands, further studies would be necessary to before V2X/SL can be supported with BW limitations of RedCap</w:t>
      </w:r>
    </w:p>
    <w:p w14:paraId="4CB343C2" w14:textId="77777777" w:rsidR="00706846" w:rsidRPr="00042F14" w:rsidRDefault="00706846" w:rsidP="00706846">
      <w:pPr>
        <w:pStyle w:val="ListParagraph"/>
        <w:numPr>
          <w:ilvl w:val="1"/>
          <w:numId w:val="20"/>
        </w:numPr>
        <w:ind w:left="1080"/>
        <w:rPr>
          <w:i/>
          <w:iCs/>
        </w:rPr>
      </w:pPr>
      <w:r w:rsidRPr="00042F14">
        <w:rPr>
          <w:i/>
          <w:iCs/>
        </w:rPr>
        <w:t>NR IAB</w:t>
      </w:r>
    </w:p>
    <w:p w14:paraId="143B37C8" w14:textId="77777777" w:rsidR="00706846" w:rsidRPr="00042F14" w:rsidRDefault="00706846" w:rsidP="00706846">
      <w:pPr>
        <w:pStyle w:val="ListParagraph"/>
        <w:numPr>
          <w:ilvl w:val="2"/>
          <w:numId w:val="20"/>
        </w:numPr>
        <w:ind w:left="1800"/>
        <w:rPr>
          <w:i/>
          <w:iCs/>
        </w:rPr>
      </w:pPr>
      <w:r w:rsidRPr="00042F14">
        <w:rPr>
          <w:i/>
          <w:iCs/>
        </w:rPr>
        <w:t>Not supported by RedCap UEs</w:t>
      </w:r>
    </w:p>
    <w:p w14:paraId="3ED7A004" w14:textId="77777777" w:rsidR="00706846" w:rsidRPr="00042F14" w:rsidRDefault="00706846" w:rsidP="00706846">
      <w:pPr>
        <w:pStyle w:val="ListParagraph"/>
        <w:numPr>
          <w:ilvl w:val="1"/>
          <w:numId w:val="20"/>
        </w:numPr>
        <w:ind w:left="1080"/>
        <w:rPr>
          <w:i/>
          <w:iCs/>
        </w:rPr>
      </w:pPr>
      <w:r w:rsidRPr="00042F14">
        <w:rPr>
          <w:i/>
          <w:iCs/>
        </w:rPr>
        <w:t>Mobility enh.</w:t>
      </w:r>
    </w:p>
    <w:p w14:paraId="7122814F" w14:textId="77777777" w:rsidR="00706846" w:rsidRDefault="00706846" w:rsidP="00706846">
      <w:pPr>
        <w:pStyle w:val="ListParagraph"/>
        <w:numPr>
          <w:ilvl w:val="2"/>
          <w:numId w:val="20"/>
        </w:numPr>
        <w:ind w:left="1800"/>
        <w:rPr>
          <w:i/>
          <w:iCs/>
        </w:rPr>
      </w:pPr>
      <w:r w:rsidRPr="00042F14">
        <w:rPr>
          <w:i/>
          <w:iCs/>
        </w:rPr>
        <w:t>Not supported by RedCap UEs since Rel-16 mobility enhancements features assume support of DAPS which is not applicable to RedCap UEs</w:t>
      </w:r>
    </w:p>
    <w:p w14:paraId="53C794F5" w14:textId="77777777" w:rsidR="00706846" w:rsidRPr="006F103D" w:rsidRDefault="00706846" w:rsidP="00706846">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5</w:t>
      </w:r>
      <w:r w:rsidRPr="006F103D">
        <w:rPr>
          <w:b/>
          <w:bCs/>
          <w:lang w:eastAsia="x-none"/>
        </w:rPr>
        <w:t>:</w:t>
      </w:r>
    </w:p>
    <w:p w14:paraId="40B97604" w14:textId="77777777" w:rsidR="000B1C23" w:rsidRPr="00AD7984" w:rsidRDefault="000B1C23" w:rsidP="000B1C23">
      <w:pPr>
        <w:pStyle w:val="ListParagraph"/>
        <w:numPr>
          <w:ilvl w:val="0"/>
          <w:numId w:val="20"/>
        </w:numPr>
        <w:autoSpaceDE/>
        <w:autoSpaceDN/>
        <w:adjustRightInd/>
        <w:snapToGrid/>
        <w:spacing w:after="160" w:line="259" w:lineRule="auto"/>
        <w:ind w:left="360"/>
        <w:jc w:val="left"/>
        <w:rPr>
          <w:i/>
          <w:iCs/>
          <w:lang w:eastAsia="x-none"/>
        </w:rPr>
      </w:pPr>
      <w:r w:rsidRPr="00AD7984">
        <w:rPr>
          <w:i/>
          <w:iCs/>
          <w:lang w:eastAsia="x-none"/>
        </w:rPr>
        <w:lastRenderedPageBreak/>
        <w:t>At least FG # 6-1 should be adapted for RedCap UEs such that operation without CORESET #0 within the active DL BWP</w:t>
      </w:r>
      <w:r>
        <w:rPr>
          <w:i/>
          <w:iCs/>
          <w:lang w:eastAsia="x-none"/>
        </w:rPr>
        <w:t xml:space="preserve"> is mandated for RedCap UEs</w:t>
      </w:r>
      <w:r w:rsidRPr="00AD7984">
        <w:rPr>
          <w:i/>
          <w:iCs/>
          <w:lang w:eastAsia="x-none"/>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215C6F34" w14:textId="08325525" w:rsidR="003F0FC0" w:rsidRDefault="003F0FC0" w:rsidP="003F0FC0">
      <w:pPr>
        <w:pStyle w:val="ListParagraph"/>
        <w:numPr>
          <w:ilvl w:val="0"/>
          <w:numId w:val="3"/>
        </w:numPr>
      </w:pPr>
      <w:bookmarkStart w:id="2" w:name="_Ref84010574"/>
      <w:bookmarkStart w:id="3" w:name="_Ref40460641"/>
      <w:bookmarkStart w:id="4" w:name="_Ref61878330"/>
      <w:bookmarkStart w:id="5" w:name="_Ref79187246"/>
      <w:r w:rsidRPr="003F0FC0">
        <w:t>R1-2108679</w:t>
      </w:r>
      <w:r>
        <w:t>, “</w:t>
      </w:r>
      <w:r w:rsidR="00D74ABC" w:rsidRPr="00D74ABC">
        <w:t>Preliminary RAN1 UE features list for Rel-17 NR</w:t>
      </w:r>
      <w:r>
        <w:t xml:space="preserve">,” </w:t>
      </w:r>
      <w:r w:rsidR="00C650BA" w:rsidRPr="00C650BA">
        <w:t>Moderators (AT&amp;T, NTT DOCOMO, INC.)</w:t>
      </w:r>
      <w:r w:rsidR="00C650BA">
        <w:t>, RAN1 #106-e.</w:t>
      </w:r>
      <w:bookmarkEnd w:id="2"/>
    </w:p>
    <w:p w14:paraId="2DAF726A" w14:textId="77777777" w:rsidR="00B81BD8" w:rsidRDefault="00B81BD8" w:rsidP="00B81BD8">
      <w:pPr>
        <w:widowControl w:val="0"/>
        <w:numPr>
          <w:ilvl w:val="0"/>
          <w:numId w:val="3"/>
        </w:numPr>
        <w:overflowPunct w:val="0"/>
        <w:snapToGrid/>
      </w:pPr>
      <w:bookmarkStart w:id="6" w:name="_Ref84002819"/>
      <w:r>
        <w:t>3GPP RAN1 Chairman’s notes, RAN1 #106-e.</w:t>
      </w:r>
      <w:bookmarkEnd w:id="6"/>
    </w:p>
    <w:p w14:paraId="751B4496" w14:textId="1F00A5D1" w:rsidR="00527A5F" w:rsidRDefault="00E40F2F" w:rsidP="00E40F2F">
      <w:pPr>
        <w:widowControl w:val="0"/>
        <w:numPr>
          <w:ilvl w:val="0"/>
          <w:numId w:val="3"/>
        </w:numPr>
        <w:overflowPunct w:val="0"/>
        <w:snapToGrid/>
      </w:pPr>
      <w:bookmarkStart w:id="7" w:name="_Ref84005847"/>
      <w:bookmarkStart w:id="8" w:name="_Ref84010662"/>
      <w:r w:rsidRPr="00014E3B">
        <w:t>R1-2108714</w:t>
      </w:r>
      <w:r>
        <w:t>, “</w:t>
      </w:r>
      <w:r w:rsidRPr="00014E3B">
        <w:t>LS on capability related RAN2 agreements for RedCap</w:t>
      </w:r>
      <w:r>
        <w:t>,” RAN WG2, RAN1 #106bis-e</w:t>
      </w:r>
      <w:bookmarkEnd w:id="7"/>
      <w:r w:rsidR="00CA00E0">
        <w:t>.</w:t>
      </w:r>
      <w:bookmarkEnd w:id="3"/>
      <w:bookmarkEnd w:id="4"/>
      <w:bookmarkEnd w:id="5"/>
      <w:bookmarkEnd w:id="8"/>
    </w:p>
    <w:p w14:paraId="5F1C8F4E" w14:textId="77777777" w:rsidR="00FD430E" w:rsidRDefault="00FD430E" w:rsidP="002F1C19">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sectPr w:rsidR="00FD430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51533D39" w14:textId="738F64D7" w:rsidR="002F1C19" w:rsidRPr="007C1391" w:rsidRDefault="002F1C19" w:rsidP="002F1C19">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lastRenderedPageBreak/>
        <w:t>Appendix A</w:t>
      </w:r>
    </w:p>
    <w:p w14:paraId="6681E577" w14:textId="77777777" w:rsidR="00FD430E" w:rsidRPr="00FD430E" w:rsidRDefault="00FD430E" w:rsidP="00FD430E">
      <w:pPr>
        <w:keepNext/>
        <w:keepLines/>
        <w:numPr>
          <w:ilvl w:val="0"/>
          <w:numId w:val="22"/>
        </w:numPr>
        <w:tabs>
          <w:tab w:val="left" w:pos="426"/>
        </w:tabs>
        <w:overflowPunct w:val="0"/>
        <w:autoSpaceDE/>
        <w:autoSpaceDN/>
        <w:adjustRightInd/>
        <w:snapToGrid/>
        <w:spacing w:after="0"/>
        <w:jc w:val="left"/>
        <w:textAlignment w:val="baseline"/>
        <w:outlineLvl w:val="0"/>
        <w:rPr>
          <w:rFonts w:ascii="Arial" w:eastAsia="Batang" w:hAnsi="Arial"/>
          <w:sz w:val="32"/>
          <w:szCs w:val="32"/>
          <w:lang w:eastAsia="ko-KR"/>
        </w:rPr>
      </w:pPr>
      <w:r w:rsidRPr="00FD430E">
        <w:rPr>
          <w:rFonts w:ascii="Arial" w:eastAsia="Batang" w:hAnsi="Arial"/>
          <w:sz w:val="32"/>
          <w:szCs w:val="32"/>
          <w:lang w:eastAsia="ko-KR"/>
        </w:rPr>
        <w:t>NR_redcap</w:t>
      </w:r>
    </w:p>
    <w:tbl>
      <w:tblPr>
        <w:tblW w:w="14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574"/>
        <w:gridCol w:w="1119"/>
        <w:gridCol w:w="2392"/>
        <w:gridCol w:w="820"/>
        <w:gridCol w:w="727"/>
        <w:gridCol w:w="731"/>
        <w:gridCol w:w="890"/>
        <w:gridCol w:w="754"/>
        <w:gridCol w:w="940"/>
        <w:gridCol w:w="940"/>
        <w:gridCol w:w="921"/>
        <w:gridCol w:w="1811"/>
        <w:gridCol w:w="1378"/>
      </w:tblGrid>
      <w:tr w:rsidR="00FD430E" w:rsidRPr="00FD430E" w14:paraId="119455D8"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204D017D"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lastRenderedPageBreak/>
              <w:t>Features</w:t>
            </w:r>
          </w:p>
        </w:tc>
        <w:tc>
          <w:tcPr>
            <w:tcW w:w="574" w:type="dxa"/>
            <w:tcBorders>
              <w:top w:val="single" w:sz="4" w:space="0" w:color="auto"/>
              <w:left w:val="single" w:sz="4" w:space="0" w:color="auto"/>
              <w:bottom w:val="single" w:sz="4" w:space="0" w:color="auto"/>
              <w:right w:val="single" w:sz="4" w:space="0" w:color="auto"/>
            </w:tcBorders>
            <w:hideMark/>
          </w:tcPr>
          <w:p w14:paraId="453EEA88"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Index</w:t>
            </w:r>
          </w:p>
        </w:tc>
        <w:tc>
          <w:tcPr>
            <w:tcW w:w="1119" w:type="dxa"/>
            <w:tcBorders>
              <w:top w:val="single" w:sz="4" w:space="0" w:color="auto"/>
              <w:left w:val="single" w:sz="4" w:space="0" w:color="auto"/>
              <w:bottom w:val="single" w:sz="4" w:space="0" w:color="auto"/>
              <w:right w:val="single" w:sz="4" w:space="0" w:color="auto"/>
            </w:tcBorders>
            <w:hideMark/>
          </w:tcPr>
          <w:p w14:paraId="19B8403F"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Feature group</w:t>
            </w:r>
          </w:p>
        </w:tc>
        <w:tc>
          <w:tcPr>
            <w:tcW w:w="2392" w:type="dxa"/>
            <w:tcBorders>
              <w:top w:val="single" w:sz="4" w:space="0" w:color="auto"/>
              <w:left w:val="single" w:sz="4" w:space="0" w:color="auto"/>
              <w:bottom w:val="single" w:sz="4" w:space="0" w:color="auto"/>
              <w:right w:val="single" w:sz="4" w:space="0" w:color="auto"/>
            </w:tcBorders>
            <w:hideMark/>
          </w:tcPr>
          <w:p w14:paraId="4C856663"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Components</w:t>
            </w:r>
          </w:p>
        </w:tc>
        <w:tc>
          <w:tcPr>
            <w:tcW w:w="820" w:type="dxa"/>
            <w:tcBorders>
              <w:top w:val="single" w:sz="4" w:space="0" w:color="auto"/>
              <w:left w:val="single" w:sz="4" w:space="0" w:color="auto"/>
              <w:bottom w:val="single" w:sz="4" w:space="0" w:color="auto"/>
              <w:right w:val="single" w:sz="4" w:space="0" w:color="auto"/>
            </w:tcBorders>
            <w:hideMark/>
          </w:tcPr>
          <w:p w14:paraId="34B5B1F7"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Prerequisite feature groups</w:t>
            </w:r>
          </w:p>
        </w:tc>
        <w:tc>
          <w:tcPr>
            <w:tcW w:w="727" w:type="dxa"/>
            <w:tcBorders>
              <w:top w:val="single" w:sz="4" w:space="0" w:color="auto"/>
              <w:left w:val="single" w:sz="4" w:space="0" w:color="auto"/>
              <w:bottom w:val="single" w:sz="4" w:space="0" w:color="auto"/>
              <w:right w:val="single" w:sz="4" w:space="0" w:color="auto"/>
            </w:tcBorders>
            <w:hideMark/>
          </w:tcPr>
          <w:p w14:paraId="39792DF1"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for the gNB to know if the feature is supported</w:t>
            </w:r>
          </w:p>
        </w:tc>
        <w:tc>
          <w:tcPr>
            <w:tcW w:w="731" w:type="dxa"/>
            <w:tcBorders>
              <w:top w:val="single" w:sz="4" w:space="0" w:color="auto"/>
              <w:left w:val="single" w:sz="4" w:space="0" w:color="auto"/>
              <w:bottom w:val="single" w:sz="4" w:space="0" w:color="auto"/>
              <w:right w:val="single" w:sz="4" w:space="0" w:color="auto"/>
            </w:tcBorders>
            <w:hideMark/>
          </w:tcPr>
          <w:p w14:paraId="78E44EE3"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Gulim" w:hAnsi="Calibri Light" w:cs="Calibri Light"/>
                <w:b/>
                <w:color w:val="000000"/>
                <w:sz w:val="14"/>
                <w:szCs w:val="14"/>
                <w:lang w:val="en-GB" w:eastAsia="en-GB"/>
              </w:rPr>
              <w:t xml:space="preserve">Applicable to </w:t>
            </w:r>
            <w:r w:rsidRPr="00FD430E">
              <w:rPr>
                <w:rFonts w:ascii="Calibri Light" w:eastAsia="Times New Roman" w:hAnsi="Calibri Light" w:cs="Calibri Light"/>
                <w:b/>
                <w:color w:val="000000"/>
                <w:sz w:val="14"/>
                <w:szCs w:val="14"/>
                <w:lang w:val="en-GB" w:eastAsia="en-GB"/>
              </w:rPr>
              <w:t>the capability signalling exchange between UEs (Sidelink WI only)”.</w:t>
            </w:r>
          </w:p>
        </w:tc>
        <w:tc>
          <w:tcPr>
            <w:tcW w:w="890" w:type="dxa"/>
            <w:tcBorders>
              <w:top w:val="single" w:sz="4" w:space="0" w:color="auto"/>
              <w:left w:val="single" w:sz="4" w:space="0" w:color="auto"/>
              <w:bottom w:val="single" w:sz="4" w:space="0" w:color="auto"/>
              <w:right w:val="single" w:sz="4" w:space="0" w:color="auto"/>
            </w:tcBorders>
            <w:hideMark/>
          </w:tcPr>
          <w:p w14:paraId="69B36096"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Consequence if the feature is not supported by the UE</w:t>
            </w:r>
          </w:p>
        </w:tc>
        <w:tc>
          <w:tcPr>
            <w:tcW w:w="754" w:type="dxa"/>
            <w:tcBorders>
              <w:top w:val="single" w:sz="4" w:space="0" w:color="auto"/>
              <w:left w:val="single" w:sz="4" w:space="0" w:color="auto"/>
              <w:bottom w:val="single" w:sz="4" w:space="0" w:color="auto"/>
              <w:right w:val="single" w:sz="4" w:space="0" w:color="auto"/>
            </w:tcBorders>
            <w:hideMark/>
          </w:tcPr>
          <w:p w14:paraId="218D39BA"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Type</w:t>
            </w:r>
          </w:p>
          <w:p w14:paraId="41EC693D"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(the ‘type’ definition from UE features should be based on the granularity of 1) Per UE or 2) Per Band or 3) Per BC or 4) Per FS or 5) Per FSPC)</w:t>
            </w:r>
          </w:p>
        </w:tc>
        <w:tc>
          <w:tcPr>
            <w:tcW w:w="940" w:type="dxa"/>
            <w:tcBorders>
              <w:top w:val="single" w:sz="4" w:space="0" w:color="auto"/>
              <w:left w:val="single" w:sz="4" w:space="0" w:color="auto"/>
              <w:bottom w:val="single" w:sz="4" w:space="0" w:color="auto"/>
              <w:right w:val="single" w:sz="4" w:space="0" w:color="auto"/>
            </w:tcBorders>
            <w:hideMark/>
          </w:tcPr>
          <w:p w14:paraId="258E2CBE"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of FDD/TDD differentiation</w:t>
            </w:r>
          </w:p>
        </w:tc>
        <w:tc>
          <w:tcPr>
            <w:tcW w:w="940" w:type="dxa"/>
            <w:tcBorders>
              <w:top w:val="single" w:sz="4" w:space="0" w:color="auto"/>
              <w:left w:val="single" w:sz="4" w:space="0" w:color="auto"/>
              <w:bottom w:val="single" w:sz="4" w:space="0" w:color="auto"/>
              <w:right w:val="single" w:sz="4" w:space="0" w:color="auto"/>
            </w:tcBorders>
            <w:hideMark/>
          </w:tcPr>
          <w:p w14:paraId="5A5737DC"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of FR1/FR2 differentiation</w:t>
            </w:r>
          </w:p>
        </w:tc>
        <w:tc>
          <w:tcPr>
            <w:tcW w:w="921" w:type="dxa"/>
            <w:tcBorders>
              <w:top w:val="single" w:sz="4" w:space="0" w:color="auto"/>
              <w:left w:val="single" w:sz="4" w:space="0" w:color="auto"/>
              <w:bottom w:val="single" w:sz="4" w:space="0" w:color="auto"/>
              <w:right w:val="single" w:sz="4" w:space="0" w:color="auto"/>
            </w:tcBorders>
            <w:hideMark/>
          </w:tcPr>
          <w:p w14:paraId="5F06CDA9"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Capability interpretation for mixture of FDD/TDD and/or FR1/FR2</w:t>
            </w:r>
          </w:p>
        </w:tc>
        <w:tc>
          <w:tcPr>
            <w:tcW w:w="1811" w:type="dxa"/>
            <w:tcBorders>
              <w:top w:val="single" w:sz="4" w:space="0" w:color="auto"/>
              <w:left w:val="single" w:sz="4" w:space="0" w:color="auto"/>
              <w:bottom w:val="single" w:sz="4" w:space="0" w:color="auto"/>
              <w:right w:val="single" w:sz="4" w:space="0" w:color="auto"/>
            </w:tcBorders>
            <w:hideMark/>
          </w:tcPr>
          <w:p w14:paraId="230CA4F6"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Note</w:t>
            </w:r>
          </w:p>
        </w:tc>
        <w:tc>
          <w:tcPr>
            <w:tcW w:w="1378" w:type="dxa"/>
            <w:tcBorders>
              <w:top w:val="single" w:sz="4" w:space="0" w:color="auto"/>
              <w:left w:val="single" w:sz="4" w:space="0" w:color="auto"/>
              <w:bottom w:val="single" w:sz="4" w:space="0" w:color="auto"/>
              <w:right w:val="single" w:sz="4" w:space="0" w:color="auto"/>
            </w:tcBorders>
            <w:hideMark/>
          </w:tcPr>
          <w:p w14:paraId="37213FAB"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Mandatory/Optional</w:t>
            </w:r>
          </w:p>
        </w:tc>
      </w:tr>
      <w:tr w:rsidR="00FD430E" w:rsidRPr="00FD430E" w14:paraId="7F5798A1"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02AE0754"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 xml:space="preserve"> 28.</w:t>
            </w:r>
            <w:r w:rsidRPr="00FD430E">
              <w:rPr>
                <w:rFonts w:ascii="Arial" w:eastAsia="MS Mincho" w:hAnsi="Arial"/>
                <w:sz w:val="14"/>
                <w:szCs w:val="14"/>
                <w:lang w:val="en-GB"/>
              </w:rPr>
              <w:t xml:space="preserve"> </w:t>
            </w:r>
            <w:r w:rsidRPr="00FD430E">
              <w:rPr>
                <w:rFonts w:ascii="Calibri Light" w:eastAsia="MS Mincho" w:hAnsi="Calibri Light" w:cs="Calibri Light"/>
                <w:sz w:val="14"/>
                <w:szCs w:val="14"/>
                <w:lang w:val="en-GB" w:eastAsia="ja-JP"/>
              </w:rPr>
              <w:t>NR_redcap</w:t>
            </w:r>
          </w:p>
        </w:tc>
        <w:tc>
          <w:tcPr>
            <w:tcW w:w="574" w:type="dxa"/>
            <w:tcBorders>
              <w:top w:val="single" w:sz="4" w:space="0" w:color="auto"/>
              <w:left w:val="single" w:sz="4" w:space="0" w:color="auto"/>
              <w:bottom w:val="single" w:sz="4" w:space="0" w:color="auto"/>
              <w:right w:val="single" w:sz="4" w:space="0" w:color="auto"/>
            </w:tcBorders>
            <w:hideMark/>
          </w:tcPr>
          <w:p w14:paraId="695BDC68"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28-1</w:t>
            </w:r>
          </w:p>
        </w:tc>
        <w:tc>
          <w:tcPr>
            <w:tcW w:w="1119" w:type="dxa"/>
            <w:tcBorders>
              <w:top w:val="single" w:sz="4" w:space="0" w:color="auto"/>
              <w:left w:val="single" w:sz="4" w:space="0" w:color="auto"/>
              <w:bottom w:val="single" w:sz="4" w:space="0" w:color="auto"/>
              <w:right w:val="single" w:sz="4" w:space="0" w:color="auto"/>
            </w:tcBorders>
            <w:hideMark/>
          </w:tcPr>
          <w:p w14:paraId="04237926"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RedCap UE</w:t>
            </w:r>
          </w:p>
        </w:tc>
        <w:tc>
          <w:tcPr>
            <w:tcW w:w="2392" w:type="dxa"/>
            <w:tcBorders>
              <w:top w:val="single" w:sz="4" w:space="0" w:color="auto"/>
              <w:left w:val="single" w:sz="4" w:space="0" w:color="auto"/>
              <w:bottom w:val="single" w:sz="4" w:space="0" w:color="auto"/>
              <w:right w:val="single" w:sz="4" w:space="0" w:color="auto"/>
            </w:tcBorders>
            <w:hideMark/>
          </w:tcPr>
          <w:p w14:paraId="5FEB587B" w14:textId="77777777" w:rsidR="00FD430E" w:rsidRPr="00FD430E" w:rsidRDefault="00FD430E" w:rsidP="00FD430E">
            <w:pPr>
              <w:spacing w:afterLines="50"/>
              <w:contextualSpacing/>
              <w:rPr>
                <w:rFonts w:ascii="Calibri Light" w:eastAsia="Batang" w:hAnsi="Calibri Light" w:cs="Calibri Light"/>
                <w:sz w:val="14"/>
                <w:szCs w:val="14"/>
                <w:lang w:val="en-GB"/>
              </w:rPr>
            </w:pPr>
            <w:r w:rsidRPr="00FD430E">
              <w:rPr>
                <w:rFonts w:ascii="Calibri Light" w:eastAsia="Batang" w:hAnsi="Calibri Light" w:cs="Calibri Light"/>
                <w:sz w:val="14"/>
                <w:szCs w:val="14"/>
                <w:lang w:val="en-GB"/>
              </w:rPr>
              <w:t>1. Maximum FR1 RedCap UE bandwidth is 20 MHz.</w:t>
            </w:r>
          </w:p>
          <w:p w14:paraId="62AE50EE" w14:textId="77777777" w:rsidR="00FD430E" w:rsidRPr="00FD430E" w:rsidRDefault="00FD430E" w:rsidP="00FD430E">
            <w:pPr>
              <w:spacing w:after="0"/>
              <w:contextualSpacing/>
              <w:rPr>
                <w:rFonts w:ascii="Calibri Light" w:eastAsia="Batang" w:hAnsi="Calibri Light" w:cs="Calibri Light"/>
                <w:sz w:val="14"/>
                <w:szCs w:val="14"/>
                <w:lang w:val="en-GB"/>
              </w:rPr>
            </w:pPr>
            <w:r w:rsidRPr="00FD430E">
              <w:rPr>
                <w:rFonts w:ascii="Calibri Light" w:eastAsia="Batang" w:hAnsi="Calibri Light" w:cs="Calibri Light"/>
                <w:sz w:val="14"/>
                <w:szCs w:val="14"/>
                <w:lang w:val="en-GB"/>
              </w:rPr>
              <w:t>2. Maximum FR2 RedCap UE bandwidth is 100 MHz.</w:t>
            </w:r>
          </w:p>
        </w:tc>
        <w:tc>
          <w:tcPr>
            <w:tcW w:w="820" w:type="dxa"/>
            <w:tcBorders>
              <w:top w:val="single" w:sz="4" w:space="0" w:color="auto"/>
              <w:left w:val="single" w:sz="4" w:space="0" w:color="auto"/>
              <w:bottom w:val="single" w:sz="4" w:space="0" w:color="auto"/>
              <w:right w:val="single" w:sz="4" w:space="0" w:color="auto"/>
            </w:tcBorders>
          </w:tcPr>
          <w:p w14:paraId="5463AA07"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highlight w:val="yellow"/>
                <w:lang w:val="en-GB" w:eastAsia="ja-JP"/>
              </w:rPr>
            </w:pPr>
          </w:p>
        </w:tc>
        <w:tc>
          <w:tcPr>
            <w:tcW w:w="727" w:type="dxa"/>
            <w:tcBorders>
              <w:top w:val="single" w:sz="4" w:space="0" w:color="auto"/>
              <w:left w:val="single" w:sz="4" w:space="0" w:color="auto"/>
              <w:bottom w:val="single" w:sz="4" w:space="0" w:color="auto"/>
              <w:right w:val="single" w:sz="4" w:space="0" w:color="auto"/>
            </w:tcBorders>
            <w:hideMark/>
          </w:tcPr>
          <w:p w14:paraId="0E7EBA25"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Yes</w:t>
            </w:r>
          </w:p>
        </w:tc>
        <w:tc>
          <w:tcPr>
            <w:tcW w:w="731" w:type="dxa"/>
            <w:tcBorders>
              <w:top w:val="single" w:sz="4" w:space="0" w:color="auto"/>
              <w:left w:val="single" w:sz="4" w:space="0" w:color="auto"/>
              <w:bottom w:val="single" w:sz="4" w:space="0" w:color="auto"/>
              <w:right w:val="single" w:sz="4" w:space="0" w:color="auto"/>
            </w:tcBorders>
          </w:tcPr>
          <w:p w14:paraId="2EB7CAA0"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890" w:type="dxa"/>
            <w:tcBorders>
              <w:top w:val="single" w:sz="4" w:space="0" w:color="auto"/>
              <w:left w:val="single" w:sz="4" w:space="0" w:color="auto"/>
              <w:bottom w:val="single" w:sz="4" w:space="0" w:color="auto"/>
              <w:right w:val="single" w:sz="4" w:space="0" w:color="auto"/>
            </w:tcBorders>
            <w:hideMark/>
          </w:tcPr>
          <w:p w14:paraId="5BE523E8"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eastAsia="zh-CN"/>
              </w:rPr>
            </w:pPr>
            <w:r w:rsidRPr="00FD430E">
              <w:rPr>
                <w:rFonts w:ascii="Calibri Light" w:hAnsi="Calibri Light" w:cs="Calibri Light"/>
                <w:sz w:val="14"/>
                <w:szCs w:val="14"/>
                <w:lang w:eastAsia="zh-CN"/>
              </w:rPr>
              <w:t>Impact on UE complexity</w:t>
            </w:r>
          </w:p>
        </w:tc>
        <w:tc>
          <w:tcPr>
            <w:tcW w:w="754" w:type="dxa"/>
            <w:tcBorders>
              <w:top w:val="single" w:sz="4" w:space="0" w:color="auto"/>
              <w:left w:val="single" w:sz="4" w:space="0" w:color="auto"/>
              <w:bottom w:val="single" w:sz="4" w:space="0" w:color="auto"/>
              <w:right w:val="single" w:sz="4" w:space="0" w:color="auto"/>
            </w:tcBorders>
            <w:hideMark/>
          </w:tcPr>
          <w:p w14:paraId="009F5593"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Per UE</w:t>
            </w:r>
          </w:p>
        </w:tc>
        <w:tc>
          <w:tcPr>
            <w:tcW w:w="940" w:type="dxa"/>
            <w:tcBorders>
              <w:top w:val="single" w:sz="4" w:space="0" w:color="auto"/>
              <w:left w:val="single" w:sz="4" w:space="0" w:color="auto"/>
              <w:bottom w:val="single" w:sz="4" w:space="0" w:color="auto"/>
              <w:right w:val="single" w:sz="4" w:space="0" w:color="auto"/>
            </w:tcBorders>
            <w:hideMark/>
          </w:tcPr>
          <w:p w14:paraId="7BA29727"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No</w:t>
            </w:r>
          </w:p>
        </w:tc>
        <w:tc>
          <w:tcPr>
            <w:tcW w:w="940" w:type="dxa"/>
            <w:tcBorders>
              <w:top w:val="single" w:sz="4" w:space="0" w:color="auto"/>
              <w:left w:val="single" w:sz="4" w:space="0" w:color="auto"/>
              <w:bottom w:val="single" w:sz="4" w:space="0" w:color="auto"/>
              <w:right w:val="single" w:sz="4" w:space="0" w:color="auto"/>
            </w:tcBorders>
            <w:hideMark/>
          </w:tcPr>
          <w:p w14:paraId="278DC090"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[No]</w:t>
            </w:r>
          </w:p>
        </w:tc>
        <w:tc>
          <w:tcPr>
            <w:tcW w:w="921" w:type="dxa"/>
            <w:tcBorders>
              <w:top w:val="single" w:sz="4" w:space="0" w:color="auto"/>
              <w:left w:val="single" w:sz="4" w:space="0" w:color="auto"/>
              <w:bottom w:val="single" w:sz="4" w:space="0" w:color="auto"/>
              <w:right w:val="single" w:sz="4" w:space="0" w:color="auto"/>
            </w:tcBorders>
          </w:tcPr>
          <w:p w14:paraId="04210A0A"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hideMark/>
          </w:tcPr>
          <w:p w14:paraId="028ADE2E"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RedCap UEs do not support carrier aggregation or dual connectivity.</w:t>
            </w:r>
          </w:p>
        </w:tc>
        <w:tc>
          <w:tcPr>
            <w:tcW w:w="1378" w:type="dxa"/>
            <w:tcBorders>
              <w:top w:val="single" w:sz="4" w:space="0" w:color="auto"/>
              <w:left w:val="single" w:sz="4" w:space="0" w:color="auto"/>
              <w:bottom w:val="single" w:sz="4" w:space="0" w:color="auto"/>
              <w:right w:val="single" w:sz="4" w:space="0" w:color="auto"/>
            </w:tcBorders>
            <w:hideMark/>
          </w:tcPr>
          <w:p w14:paraId="247A3533"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Optional with capability signaling</w:t>
            </w:r>
          </w:p>
        </w:tc>
      </w:tr>
      <w:tr w:rsidR="00FD430E" w:rsidRPr="00FD430E" w14:paraId="2A6588D2"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5E8744AF"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 xml:space="preserve"> 28.</w:t>
            </w:r>
            <w:r w:rsidRPr="00FD430E">
              <w:rPr>
                <w:rFonts w:ascii="Arial" w:eastAsia="MS Mincho" w:hAnsi="Arial"/>
                <w:sz w:val="14"/>
                <w:szCs w:val="14"/>
                <w:lang w:val="en-GB"/>
              </w:rPr>
              <w:t xml:space="preserve"> </w:t>
            </w:r>
            <w:r w:rsidRPr="00FD430E">
              <w:rPr>
                <w:rFonts w:ascii="Calibri Light" w:eastAsia="MS Mincho" w:hAnsi="Calibri Light" w:cs="Calibri Light"/>
                <w:sz w:val="14"/>
                <w:szCs w:val="14"/>
                <w:lang w:val="en-GB" w:eastAsia="ja-JP"/>
              </w:rPr>
              <w:t>NR_redcap</w:t>
            </w:r>
          </w:p>
        </w:tc>
        <w:tc>
          <w:tcPr>
            <w:tcW w:w="574" w:type="dxa"/>
            <w:tcBorders>
              <w:top w:val="single" w:sz="4" w:space="0" w:color="auto"/>
              <w:left w:val="single" w:sz="4" w:space="0" w:color="auto"/>
              <w:bottom w:val="single" w:sz="4" w:space="0" w:color="auto"/>
              <w:right w:val="single" w:sz="4" w:space="0" w:color="auto"/>
            </w:tcBorders>
            <w:hideMark/>
          </w:tcPr>
          <w:p w14:paraId="0662D282"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28-2</w:t>
            </w:r>
          </w:p>
        </w:tc>
        <w:tc>
          <w:tcPr>
            <w:tcW w:w="1119" w:type="dxa"/>
            <w:tcBorders>
              <w:top w:val="single" w:sz="4" w:space="0" w:color="auto"/>
              <w:left w:val="single" w:sz="4" w:space="0" w:color="auto"/>
              <w:bottom w:val="single" w:sz="4" w:space="0" w:color="auto"/>
              <w:right w:val="single" w:sz="4" w:space="0" w:color="auto"/>
            </w:tcBorders>
            <w:hideMark/>
          </w:tcPr>
          <w:p w14:paraId="18326C0B"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Number of UE Rx branches and DL MIMO layers for RedCap UE</w:t>
            </w:r>
          </w:p>
        </w:tc>
        <w:tc>
          <w:tcPr>
            <w:tcW w:w="2392" w:type="dxa"/>
            <w:tcBorders>
              <w:top w:val="single" w:sz="4" w:space="0" w:color="auto"/>
              <w:left w:val="single" w:sz="4" w:space="0" w:color="auto"/>
              <w:bottom w:val="single" w:sz="4" w:space="0" w:color="auto"/>
              <w:right w:val="single" w:sz="4" w:space="0" w:color="auto"/>
            </w:tcBorders>
            <w:hideMark/>
          </w:tcPr>
          <w:p w14:paraId="616798EB" w14:textId="77777777" w:rsidR="00FD430E" w:rsidRPr="00FD430E" w:rsidRDefault="00FD430E" w:rsidP="00FD430E">
            <w:pPr>
              <w:spacing w:afterLines="50"/>
              <w:contextualSpacing/>
              <w:rPr>
                <w:rFonts w:ascii="Calibri Light" w:eastAsia="Batang" w:hAnsi="Calibri Light" w:cs="Calibri Light"/>
                <w:sz w:val="14"/>
                <w:szCs w:val="14"/>
                <w:lang w:val="en-GB"/>
              </w:rPr>
            </w:pPr>
            <w:r w:rsidRPr="00FD430E">
              <w:rPr>
                <w:rFonts w:ascii="Calibri Light" w:eastAsia="Batang" w:hAnsi="Calibri Light" w:cs="Calibri Light"/>
                <w:sz w:val="14"/>
                <w:szCs w:val="14"/>
                <w:lang w:val="en-GB"/>
              </w:rPr>
              <w:t>1. For a RedCap UE with 1 Rx branch, 1 DL MIMO layer is supported.</w:t>
            </w:r>
          </w:p>
          <w:p w14:paraId="5E624EAE" w14:textId="77777777" w:rsidR="00FD430E" w:rsidRPr="00FD430E" w:rsidRDefault="00FD430E" w:rsidP="00FD430E">
            <w:pPr>
              <w:spacing w:after="0"/>
              <w:contextualSpacing/>
              <w:rPr>
                <w:rFonts w:ascii="Calibri Light" w:eastAsia="Batang" w:hAnsi="Calibri Light" w:cs="Calibri Light"/>
                <w:sz w:val="14"/>
                <w:szCs w:val="14"/>
                <w:lang w:val="en-GB"/>
              </w:rPr>
            </w:pPr>
            <w:r w:rsidRPr="00FD430E">
              <w:rPr>
                <w:rFonts w:ascii="Calibri Light" w:eastAsia="Batang" w:hAnsi="Calibri Light" w:cs="Calibri Light"/>
                <w:sz w:val="14"/>
                <w:szCs w:val="14"/>
                <w:lang w:val="en-GB"/>
              </w:rPr>
              <w:t>2. For a RedCap UE with 2 Rx branches, 2 DL MIMO layers are supported.</w:t>
            </w:r>
          </w:p>
        </w:tc>
        <w:tc>
          <w:tcPr>
            <w:tcW w:w="820" w:type="dxa"/>
            <w:tcBorders>
              <w:top w:val="single" w:sz="4" w:space="0" w:color="auto"/>
              <w:left w:val="single" w:sz="4" w:space="0" w:color="auto"/>
              <w:bottom w:val="single" w:sz="4" w:space="0" w:color="auto"/>
              <w:right w:val="single" w:sz="4" w:space="0" w:color="auto"/>
            </w:tcBorders>
            <w:hideMark/>
          </w:tcPr>
          <w:p w14:paraId="7C7144D8"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28-1</w:t>
            </w:r>
          </w:p>
        </w:tc>
        <w:tc>
          <w:tcPr>
            <w:tcW w:w="727" w:type="dxa"/>
            <w:tcBorders>
              <w:top w:val="single" w:sz="4" w:space="0" w:color="auto"/>
              <w:left w:val="single" w:sz="4" w:space="0" w:color="auto"/>
              <w:bottom w:val="single" w:sz="4" w:space="0" w:color="auto"/>
              <w:right w:val="single" w:sz="4" w:space="0" w:color="auto"/>
            </w:tcBorders>
            <w:hideMark/>
          </w:tcPr>
          <w:p w14:paraId="206B184B"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Yes</w:t>
            </w:r>
          </w:p>
        </w:tc>
        <w:tc>
          <w:tcPr>
            <w:tcW w:w="731" w:type="dxa"/>
            <w:tcBorders>
              <w:top w:val="single" w:sz="4" w:space="0" w:color="auto"/>
              <w:left w:val="single" w:sz="4" w:space="0" w:color="auto"/>
              <w:bottom w:val="single" w:sz="4" w:space="0" w:color="auto"/>
              <w:right w:val="single" w:sz="4" w:space="0" w:color="auto"/>
            </w:tcBorders>
          </w:tcPr>
          <w:p w14:paraId="478FB89B"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890" w:type="dxa"/>
            <w:tcBorders>
              <w:top w:val="single" w:sz="4" w:space="0" w:color="auto"/>
              <w:left w:val="single" w:sz="4" w:space="0" w:color="auto"/>
              <w:bottom w:val="single" w:sz="4" w:space="0" w:color="auto"/>
              <w:right w:val="single" w:sz="4" w:space="0" w:color="auto"/>
            </w:tcBorders>
            <w:hideMark/>
          </w:tcPr>
          <w:p w14:paraId="6FA9F776"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eastAsia="zh-CN"/>
              </w:rPr>
              <w:t>Impact on UE complexity</w:t>
            </w:r>
          </w:p>
        </w:tc>
        <w:tc>
          <w:tcPr>
            <w:tcW w:w="754" w:type="dxa"/>
            <w:tcBorders>
              <w:top w:val="single" w:sz="4" w:space="0" w:color="auto"/>
              <w:left w:val="single" w:sz="4" w:space="0" w:color="auto"/>
              <w:bottom w:val="single" w:sz="4" w:space="0" w:color="auto"/>
              <w:right w:val="single" w:sz="4" w:space="0" w:color="auto"/>
            </w:tcBorders>
            <w:hideMark/>
          </w:tcPr>
          <w:p w14:paraId="66874BF2"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[Per band]</w:t>
            </w:r>
          </w:p>
        </w:tc>
        <w:tc>
          <w:tcPr>
            <w:tcW w:w="940" w:type="dxa"/>
            <w:tcBorders>
              <w:top w:val="single" w:sz="4" w:space="0" w:color="auto"/>
              <w:left w:val="single" w:sz="4" w:space="0" w:color="auto"/>
              <w:bottom w:val="single" w:sz="4" w:space="0" w:color="auto"/>
              <w:right w:val="single" w:sz="4" w:space="0" w:color="auto"/>
            </w:tcBorders>
            <w:hideMark/>
          </w:tcPr>
          <w:p w14:paraId="6F797A46"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No</w:t>
            </w:r>
          </w:p>
        </w:tc>
        <w:tc>
          <w:tcPr>
            <w:tcW w:w="940" w:type="dxa"/>
            <w:tcBorders>
              <w:top w:val="single" w:sz="4" w:space="0" w:color="auto"/>
              <w:left w:val="single" w:sz="4" w:space="0" w:color="auto"/>
              <w:bottom w:val="single" w:sz="4" w:space="0" w:color="auto"/>
              <w:right w:val="single" w:sz="4" w:space="0" w:color="auto"/>
            </w:tcBorders>
            <w:hideMark/>
          </w:tcPr>
          <w:p w14:paraId="2254B6D5"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[No]</w:t>
            </w:r>
          </w:p>
        </w:tc>
        <w:tc>
          <w:tcPr>
            <w:tcW w:w="921" w:type="dxa"/>
            <w:tcBorders>
              <w:top w:val="single" w:sz="4" w:space="0" w:color="auto"/>
              <w:left w:val="single" w:sz="4" w:space="0" w:color="auto"/>
              <w:bottom w:val="single" w:sz="4" w:space="0" w:color="auto"/>
              <w:right w:val="single" w:sz="4" w:space="0" w:color="auto"/>
            </w:tcBorders>
          </w:tcPr>
          <w:p w14:paraId="26F6D655"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hideMark/>
          </w:tcPr>
          <w:p w14:paraId="66894342"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 xml:space="preserve">For UE capability signalling, the number of Rx branches for RedCap is implicitly indicated by the corresponding capability parameter </w:t>
            </w:r>
            <w:r w:rsidRPr="00FD430E">
              <w:rPr>
                <w:rFonts w:ascii="Calibri Light" w:eastAsia="MS Mincho" w:hAnsi="Calibri Light" w:cs="Calibri Light"/>
                <w:i/>
                <w:iCs/>
                <w:sz w:val="14"/>
                <w:szCs w:val="14"/>
                <w:lang w:val="en-GB"/>
              </w:rPr>
              <w:t>maxNumberMIMO-LayersPDSCH</w:t>
            </w:r>
            <w:r w:rsidRPr="00FD430E">
              <w:rPr>
                <w:rFonts w:ascii="Calibri Light" w:eastAsia="MS Mincho" w:hAnsi="Calibri Light" w:cs="Calibri Light"/>
                <w:sz w:val="14"/>
                <w:szCs w:val="14"/>
                <w:lang w:val="en-GB"/>
              </w:rPr>
              <w:t xml:space="preserve"> in the existing UE capability framework.</w:t>
            </w:r>
            <w:r w:rsidRPr="00FD430E">
              <w:rPr>
                <w:rFonts w:ascii="Arial" w:eastAsia="MS Mincho" w:hAnsi="Arial"/>
                <w:sz w:val="14"/>
                <w:szCs w:val="14"/>
                <w:lang w:val="en-GB"/>
              </w:rPr>
              <w:t xml:space="preserve"> </w:t>
            </w:r>
            <w:r w:rsidRPr="00FD430E">
              <w:rPr>
                <w:rFonts w:ascii="Calibri Light" w:eastAsia="MS Mincho" w:hAnsi="Calibri Light" w:cs="Calibri Light"/>
                <w:sz w:val="14"/>
                <w:szCs w:val="14"/>
                <w:lang w:val="en-GB"/>
              </w:rPr>
              <w:t>Detailed signalling is up to RAN2.</w:t>
            </w:r>
          </w:p>
        </w:tc>
        <w:tc>
          <w:tcPr>
            <w:tcW w:w="1378" w:type="dxa"/>
            <w:tcBorders>
              <w:top w:val="single" w:sz="4" w:space="0" w:color="auto"/>
              <w:left w:val="single" w:sz="4" w:space="0" w:color="auto"/>
              <w:bottom w:val="single" w:sz="4" w:space="0" w:color="auto"/>
              <w:right w:val="single" w:sz="4" w:space="0" w:color="auto"/>
            </w:tcBorders>
            <w:hideMark/>
          </w:tcPr>
          <w:p w14:paraId="3AE626A6"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Optional</w:t>
            </w:r>
            <w:r w:rsidRPr="00FD430E">
              <w:rPr>
                <w:rFonts w:ascii="Calibri Light" w:eastAsia="MS Mincho" w:hAnsi="Calibri Light" w:cs="Calibri Light"/>
                <w:sz w:val="14"/>
                <w:szCs w:val="14"/>
                <w:lang w:val="en-GB" w:eastAsia="ja-JP"/>
              </w:rPr>
              <w:t xml:space="preserve"> with capability signaling</w:t>
            </w:r>
          </w:p>
        </w:tc>
      </w:tr>
      <w:tr w:rsidR="00FD430E" w:rsidRPr="00FD430E" w14:paraId="05C82997"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143EA3F4"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28. NR_redcap</w:t>
            </w:r>
          </w:p>
        </w:tc>
        <w:tc>
          <w:tcPr>
            <w:tcW w:w="574" w:type="dxa"/>
            <w:tcBorders>
              <w:top w:val="single" w:sz="4" w:space="0" w:color="auto"/>
              <w:left w:val="single" w:sz="4" w:space="0" w:color="auto"/>
              <w:bottom w:val="single" w:sz="4" w:space="0" w:color="auto"/>
              <w:right w:val="single" w:sz="4" w:space="0" w:color="auto"/>
            </w:tcBorders>
            <w:hideMark/>
          </w:tcPr>
          <w:p w14:paraId="42247BF1"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28-3</w:t>
            </w:r>
          </w:p>
        </w:tc>
        <w:tc>
          <w:tcPr>
            <w:tcW w:w="1119" w:type="dxa"/>
            <w:tcBorders>
              <w:top w:val="single" w:sz="4" w:space="0" w:color="auto"/>
              <w:left w:val="single" w:sz="4" w:space="0" w:color="auto"/>
              <w:bottom w:val="single" w:sz="4" w:space="0" w:color="auto"/>
              <w:right w:val="single" w:sz="4" w:space="0" w:color="auto"/>
            </w:tcBorders>
            <w:hideMark/>
          </w:tcPr>
          <w:p w14:paraId="0CB39E27"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Half-duplex FDD operation for RedCap UE</w:t>
            </w:r>
          </w:p>
        </w:tc>
        <w:tc>
          <w:tcPr>
            <w:tcW w:w="2392" w:type="dxa"/>
            <w:tcBorders>
              <w:top w:val="single" w:sz="4" w:space="0" w:color="auto"/>
              <w:left w:val="single" w:sz="4" w:space="0" w:color="auto"/>
              <w:bottom w:val="single" w:sz="4" w:space="0" w:color="auto"/>
              <w:right w:val="single" w:sz="4" w:space="0" w:color="auto"/>
            </w:tcBorders>
            <w:hideMark/>
          </w:tcPr>
          <w:p w14:paraId="61C6EA39" w14:textId="77777777" w:rsidR="00FD430E" w:rsidRPr="00FD430E" w:rsidRDefault="00FD430E" w:rsidP="00FD430E">
            <w:pPr>
              <w:spacing w:afterLines="50"/>
              <w:contextualSpacing/>
              <w:rPr>
                <w:rFonts w:ascii="Calibri Light" w:eastAsia="Batang" w:hAnsi="Calibri Light" w:cs="Calibri Light"/>
                <w:sz w:val="14"/>
                <w:szCs w:val="14"/>
                <w:lang w:val="en-GB"/>
              </w:rPr>
            </w:pPr>
            <w:r w:rsidRPr="00FD430E">
              <w:rPr>
                <w:rFonts w:ascii="Calibri Light" w:eastAsia="Batang" w:hAnsi="Calibri Light" w:cs="Calibri Light"/>
                <w:sz w:val="14"/>
                <w:szCs w:val="14"/>
                <w:lang w:val="en-GB"/>
              </w:rPr>
              <w:t>1. Half-duplex FDD operation (instead of full-duplex FDD operation) for RedCap UE</w:t>
            </w:r>
          </w:p>
        </w:tc>
        <w:tc>
          <w:tcPr>
            <w:tcW w:w="820" w:type="dxa"/>
            <w:tcBorders>
              <w:top w:val="single" w:sz="4" w:space="0" w:color="auto"/>
              <w:left w:val="single" w:sz="4" w:space="0" w:color="auto"/>
              <w:bottom w:val="single" w:sz="4" w:space="0" w:color="auto"/>
              <w:right w:val="single" w:sz="4" w:space="0" w:color="auto"/>
            </w:tcBorders>
            <w:hideMark/>
          </w:tcPr>
          <w:p w14:paraId="2714856B"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28-1</w:t>
            </w:r>
          </w:p>
        </w:tc>
        <w:tc>
          <w:tcPr>
            <w:tcW w:w="727" w:type="dxa"/>
            <w:tcBorders>
              <w:top w:val="single" w:sz="4" w:space="0" w:color="auto"/>
              <w:left w:val="single" w:sz="4" w:space="0" w:color="auto"/>
              <w:bottom w:val="single" w:sz="4" w:space="0" w:color="auto"/>
              <w:right w:val="single" w:sz="4" w:space="0" w:color="auto"/>
            </w:tcBorders>
            <w:hideMark/>
          </w:tcPr>
          <w:p w14:paraId="594F253F"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Yes</w:t>
            </w:r>
          </w:p>
        </w:tc>
        <w:tc>
          <w:tcPr>
            <w:tcW w:w="731" w:type="dxa"/>
            <w:tcBorders>
              <w:top w:val="single" w:sz="4" w:space="0" w:color="auto"/>
              <w:left w:val="single" w:sz="4" w:space="0" w:color="auto"/>
              <w:bottom w:val="single" w:sz="4" w:space="0" w:color="auto"/>
              <w:right w:val="single" w:sz="4" w:space="0" w:color="auto"/>
            </w:tcBorders>
          </w:tcPr>
          <w:p w14:paraId="4C54D7C0"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890" w:type="dxa"/>
            <w:tcBorders>
              <w:top w:val="single" w:sz="4" w:space="0" w:color="auto"/>
              <w:left w:val="single" w:sz="4" w:space="0" w:color="auto"/>
              <w:bottom w:val="single" w:sz="4" w:space="0" w:color="auto"/>
              <w:right w:val="single" w:sz="4" w:space="0" w:color="auto"/>
            </w:tcBorders>
            <w:hideMark/>
          </w:tcPr>
          <w:p w14:paraId="6DE5AFDF"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eastAsia="zh-CN"/>
              </w:rPr>
            </w:pPr>
            <w:r w:rsidRPr="00FD430E">
              <w:rPr>
                <w:rFonts w:ascii="Calibri Light" w:hAnsi="Calibri Light" w:cs="Calibri Light"/>
                <w:sz w:val="14"/>
                <w:szCs w:val="14"/>
                <w:lang w:eastAsia="zh-CN"/>
              </w:rPr>
              <w:t>Impact on UE complexity</w:t>
            </w:r>
          </w:p>
        </w:tc>
        <w:tc>
          <w:tcPr>
            <w:tcW w:w="754" w:type="dxa"/>
            <w:tcBorders>
              <w:top w:val="single" w:sz="4" w:space="0" w:color="auto"/>
              <w:left w:val="single" w:sz="4" w:space="0" w:color="auto"/>
              <w:bottom w:val="single" w:sz="4" w:space="0" w:color="auto"/>
              <w:right w:val="single" w:sz="4" w:space="0" w:color="auto"/>
            </w:tcBorders>
            <w:hideMark/>
          </w:tcPr>
          <w:p w14:paraId="1F98F706"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[Per band]</w:t>
            </w:r>
          </w:p>
        </w:tc>
        <w:tc>
          <w:tcPr>
            <w:tcW w:w="940" w:type="dxa"/>
            <w:tcBorders>
              <w:top w:val="single" w:sz="4" w:space="0" w:color="auto"/>
              <w:left w:val="single" w:sz="4" w:space="0" w:color="auto"/>
              <w:bottom w:val="single" w:sz="4" w:space="0" w:color="auto"/>
              <w:right w:val="single" w:sz="4" w:space="0" w:color="auto"/>
            </w:tcBorders>
            <w:hideMark/>
          </w:tcPr>
          <w:p w14:paraId="4A496224"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FDD only</w:t>
            </w:r>
          </w:p>
        </w:tc>
        <w:tc>
          <w:tcPr>
            <w:tcW w:w="940" w:type="dxa"/>
            <w:tcBorders>
              <w:top w:val="single" w:sz="4" w:space="0" w:color="auto"/>
              <w:left w:val="single" w:sz="4" w:space="0" w:color="auto"/>
              <w:bottom w:val="single" w:sz="4" w:space="0" w:color="auto"/>
              <w:right w:val="single" w:sz="4" w:space="0" w:color="auto"/>
            </w:tcBorders>
            <w:hideMark/>
          </w:tcPr>
          <w:p w14:paraId="7C46EB6C"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FR1 only</w:t>
            </w:r>
          </w:p>
        </w:tc>
        <w:tc>
          <w:tcPr>
            <w:tcW w:w="921" w:type="dxa"/>
            <w:tcBorders>
              <w:top w:val="single" w:sz="4" w:space="0" w:color="auto"/>
              <w:left w:val="single" w:sz="4" w:space="0" w:color="auto"/>
              <w:bottom w:val="single" w:sz="4" w:space="0" w:color="auto"/>
              <w:right w:val="single" w:sz="4" w:space="0" w:color="auto"/>
            </w:tcBorders>
          </w:tcPr>
          <w:p w14:paraId="47C28119"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tcPr>
          <w:p w14:paraId="0BDF8775"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p>
        </w:tc>
        <w:tc>
          <w:tcPr>
            <w:tcW w:w="1378" w:type="dxa"/>
            <w:tcBorders>
              <w:top w:val="single" w:sz="4" w:space="0" w:color="auto"/>
              <w:left w:val="single" w:sz="4" w:space="0" w:color="auto"/>
              <w:bottom w:val="single" w:sz="4" w:space="0" w:color="auto"/>
              <w:right w:val="single" w:sz="4" w:space="0" w:color="auto"/>
            </w:tcBorders>
            <w:hideMark/>
          </w:tcPr>
          <w:p w14:paraId="195C5226"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Optional</w:t>
            </w:r>
            <w:r w:rsidRPr="00FD430E">
              <w:rPr>
                <w:rFonts w:ascii="Calibri Light" w:eastAsia="MS Mincho" w:hAnsi="Calibri Light" w:cs="Calibri Light"/>
                <w:sz w:val="14"/>
                <w:szCs w:val="14"/>
                <w:lang w:val="en-GB" w:eastAsia="ja-JP"/>
              </w:rPr>
              <w:t xml:space="preserve"> with capability signaling</w:t>
            </w:r>
          </w:p>
        </w:tc>
      </w:tr>
      <w:tr w:rsidR="00FD430E" w:rsidRPr="00FD430E" w14:paraId="2BBEC04C" w14:textId="77777777" w:rsidTr="003D65B4">
        <w:trPr>
          <w:trHeight w:val="585"/>
        </w:trPr>
        <w:tc>
          <w:tcPr>
            <w:tcW w:w="912" w:type="dxa"/>
            <w:tcBorders>
              <w:top w:val="single" w:sz="4" w:space="0" w:color="auto"/>
              <w:left w:val="single" w:sz="4" w:space="0" w:color="auto"/>
              <w:bottom w:val="single" w:sz="4" w:space="0" w:color="auto"/>
              <w:right w:val="single" w:sz="4" w:space="0" w:color="auto"/>
            </w:tcBorders>
            <w:hideMark/>
          </w:tcPr>
          <w:p w14:paraId="6AF038A8"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 xml:space="preserve"> 28.</w:t>
            </w:r>
            <w:r w:rsidRPr="00FD430E">
              <w:rPr>
                <w:rFonts w:ascii="Arial" w:eastAsia="MS Mincho" w:hAnsi="Arial"/>
                <w:sz w:val="14"/>
                <w:szCs w:val="14"/>
                <w:lang w:val="en-GB"/>
              </w:rPr>
              <w:t xml:space="preserve"> </w:t>
            </w:r>
            <w:r w:rsidRPr="00FD430E">
              <w:rPr>
                <w:rFonts w:ascii="Calibri Light" w:eastAsia="MS Mincho" w:hAnsi="Calibri Light" w:cs="Calibri Light"/>
                <w:sz w:val="14"/>
                <w:szCs w:val="14"/>
                <w:lang w:val="en-GB" w:eastAsia="ja-JP"/>
              </w:rPr>
              <w:t>NR_redcap</w:t>
            </w:r>
          </w:p>
        </w:tc>
        <w:tc>
          <w:tcPr>
            <w:tcW w:w="574" w:type="dxa"/>
            <w:tcBorders>
              <w:top w:val="single" w:sz="4" w:space="0" w:color="auto"/>
              <w:left w:val="single" w:sz="4" w:space="0" w:color="auto"/>
              <w:bottom w:val="single" w:sz="4" w:space="0" w:color="auto"/>
              <w:right w:val="single" w:sz="4" w:space="0" w:color="auto"/>
            </w:tcBorders>
            <w:hideMark/>
          </w:tcPr>
          <w:p w14:paraId="1CBA64B8"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28-4</w:t>
            </w:r>
          </w:p>
        </w:tc>
        <w:tc>
          <w:tcPr>
            <w:tcW w:w="1119" w:type="dxa"/>
            <w:tcBorders>
              <w:top w:val="single" w:sz="4" w:space="0" w:color="auto"/>
              <w:left w:val="single" w:sz="4" w:space="0" w:color="auto"/>
              <w:bottom w:val="single" w:sz="4" w:space="0" w:color="auto"/>
              <w:right w:val="single" w:sz="4" w:space="0" w:color="auto"/>
            </w:tcBorders>
            <w:hideMark/>
          </w:tcPr>
          <w:p w14:paraId="35B698AC"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DL 256QAM support for RedCap UE</w:t>
            </w:r>
          </w:p>
        </w:tc>
        <w:tc>
          <w:tcPr>
            <w:tcW w:w="2392" w:type="dxa"/>
            <w:tcBorders>
              <w:top w:val="single" w:sz="4" w:space="0" w:color="auto"/>
              <w:left w:val="single" w:sz="4" w:space="0" w:color="auto"/>
              <w:bottom w:val="single" w:sz="4" w:space="0" w:color="auto"/>
              <w:right w:val="single" w:sz="4" w:space="0" w:color="auto"/>
            </w:tcBorders>
            <w:hideMark/>
          </w:tcPr>
          <w:p w14:paraId="390BD04F" w14:textId="77777777" w:rsidR="00FD430E" w:rsidRPr="00FD430E" w:rsidRDefault="00FD430E" w:rsidP="00FD430E">
            <w:pPr>
              <w:spacing w:afterLines="50"/>
              <w:contextualSpacing/>
              <w:rPr>
                <w:rFonts w:ascii="Calibri Light" w:eastAsia="Batang" w:hAnsi="Calibri Light" w:cs="Calibri Light"/>
                <w:sz w:val="14"/>
                <w:szCs w:val="14"/>
                <w:lang w:val="en-GB"/>
              </w:rPr>
            </w:pPr>
            <w:r w:rsidRPr="00FD430E">
              <w:rPr>
                <w:rFonts w:ascii="Calibri Light" w:eastAsia="Batang" w:hAnsi="Calibri Light" w:cs="Calibri Light"/>
                <w:sz w:val="14"/>
                <w:szCs w:val="14"/>
                <w:lang w:val="en-GB"/>
              </w:rPr>
              <w:t>1. Support of 256QAM for PDSCH for RedCap UE</w:t>
            </w:r>
          </w:p>
          <w:p w14:paraId="154327AA" w14:textId="77777777" w:rsidR="00FD430E" w:rsidRPr="00FD430E" w:rsidRDefault="00FD430E" w:rsidP="00FD430E">
            <w:pPr>
              <w:spacing w:after="0"/>
              <w:contextualSpacing/>
              <w:rPr>
                <w:rFonts w:ascii="Calibri Light" w:eastAsia="Batang" w:hAnsi="Calibri Light" w:cs="Calibri Light"/>
                <w:sz w:val="14"/>
                <w:szCs w:val="14"/>
                <w:lang w:val="en-GB"/>
              </w:rPr>
            </w:pPr>
            <w:r w:rsidRPr="00FD430E">
              <w:rPr>
                <w:rFonts w:ascii="Calibri Light" w:eastAsia="Batang" w:hAnsi="Calibri Light" w:cs="Calibri Light"/>
                <w:sz w:val="14"/>
                <w:szCs w:val="14"/>
                <w:lang w:val="en-GB"/>
              </w:rPr>
              <w:t>2. Support of 256QAM MCS table (Table 5.1.3.1-2 in TS 38.214) for PDSCH for RedCap UE</w:t>
            </w:r>
          </w:p>
          <w:p w14:paraId="4C556ABE" w14:textId="77777777" w:rsidR="00FD430E" w:rsidRPr="00FD430E" w:rsidRDefault="00FD430E" w:rsidP="00FD430E">
            <w:pPr>
              <w:spacing w:after="0"/>
              <w:contextualSpacing/>
              <w:rPr>
                <w:rFonts w:ascii="Calibri Light" w:eastAsia="Batang" w:hAnsi="Calibri Light" w:cs="Calibri Light"/>
                <w:sz w:val="14"/>
                <w:szCs w:val="14"/>
                <w:lang w:val="en-GB"/>
              </w:rPr>
            </w:pPr>
            <w:r w:rsidRPr="00FD430E">
              <w:rPr>
                <w:rFonts w:ascii="Calibri Light" w:eastAsia="Batang" w:hAnsi="Calibri Light" w:cs="Calibri Light"/>
                <w:sz w:val="14"/>
                <w:szCs w:val="14"/>
                <w:lang w:val="en-GB"/>
              </w:rPr>
              <w:t>3. Support of CQI table 2 (Table 5.2.2.1-3 in TS 38.214) for RedCap UE</w:t>
            </w:r>
          </w:p>
        </w:tc>
        <w:tc>
          <w:tcPr>
            <w:tcW w:w="820" w:type="dxa"/>
            <w:tcBorders>
              <w:top w:val="single" w:sz="4" w:space="0" w:color="auto"/>
              <w:left w:val="single" w:sz="4" w:space="0" w:color="auto"/>
              <w:bottom w:val="single" w:sz="4" w:space="0" w:color="auto"/>
              <w:right w:val="single" w:sz="4" w:space="0" w:color="auto"/>
            </w:tcBorders>
            <w:hideMark/>
          </w:tcPr>
          <w:p w14:paraId="03ECC787"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28-1</w:t>
            </w:r>
          </w:p>
        </w:tc>
        <w:tc>
          <w:tcPr>
            <w:tcW w:w="727" w:type="dxa"/>
            <w:tcBorders>
              <w:top w:val="single" w:sz="4" w:space="0" w:color="auto"/>
              <w:left w:val="single" w:sz="4" w:space="0" w:color="auto"/>
              <w:bottom w:val="single" w:sz="4" w:space="0" w:color="auto"/>
              <w:right w:val="single" w:sz="4" w:space="0" w:color="auto"/>
            </w:tcBorders>
            <w:hideMark/>
          </w:tcPr>
          <w:p w14:paraId="2DAF4AFA"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Yes</w:t>
            </w:r>
          </w:p>
        </w:tc>
        <w:tc>
          <w:tcPr>
            <w:tcW w:w="731" w:type="dxa"/>
            <w:tcBorders>
              <w:top w:val="single" w:sz="4" w:space="0" w:color="auto"/>
              <w:left w:val="single" w:sz="4" w:space="0" w:color="auto"/>
              <w:bottom w:val="single" w:sz="4" w:space="0" w:color="auto"/>
              <w:right w:val="single" w:sz="4" w:space="0" w:color="auto"/>
            </w:tcBorders>
          </w:tcPr>
          <w:p w14:paraId="38DC36DB"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890" w:type="dxa"/>
            <w:tcBorders>
              <w:top w:val="single" w:sz="4" w:space="0" w:color="auto"/>
              <w:left w:val="single" w:sz="4" w:space="0" w:color="auto"/>
              <w:bottom w:val="single" w:sz="4" w:space="0" w:color="auto"/>
              <w:right w:val="single" w:sz="4" w:space="0" w:color="auto"/>
            </w:tcBorders>
            <w:hideMark/>
          </w:tcPr>
          <w:p w14:paraId="733147D2"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eastAsia="zh-CN"/>
              </w:rPr>
              <w:t>Impacts on UE complexity and DL link performance at high SNR</w:t>
            </w:r>
          </w:p>
        </w:tc>
        <w:tc>
          <w:tcPr>
            <w:tcW w:w="754" w:type="dxa"/>
            <w:tcBorders>
              <w:top w:val="single" w:sz="4" w:space="0" w:color="auto"/>
              <w:left w:val="single" w:sz="4" w:space="0" w:color="auto"/>
              <w:bottom w:val="single" w:sz="4" w:space="0" w:color="auto"/>
              <w:right w:val="single" w:sz="4" w:space="0" w:color="auto"/>
            </w:tcBorders>
            <w:hideMark/>
          </w:tcPr>
          <w:p w14:paraId="449D4271"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[Per band]</w:t>
            </w:r>
          </w:p>
        </w:tc>
        <w:tc>
          <w:tcPr>
            <w:tcW w:w="940" w:type="dxa"/>
            <w:tcBorders>
              <w:top w:val="single" w:sz="4" w:space="0" w:color="auto"/>
              <w:left w:val="single" w:sz="4" w:space="0" w:color="auto"/>
              <w:bottom w:val="single" w:sz="4" w:space="0" w:color="auto"/>
              <w:right w:val="single" w:sz="4" w:space="0" w:color="auto"/>
            </w:tcBorders>
            <w:hideMark/>
          </w:tcPr>
          <w:p w14:paraId="600ACC54"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No</w:t>
            </w:r>
          </w:p>
        </w:tc>
        <w:tc>
          <w:tcPr>
            <w:tcW w:w="940" w:type="dxa"/>
            <w:tcBorders>
              <w:top w:val="single" w:sz="4" w:space="0" w:color="auto"/>
              <w:left w:val="single" w:sz="4" w:space="0" w:color="auto"/>
              <w:bottom w:val="single" w:sz="4" w:space="0" w:color="auto"/>
              <w:right w:val="single" w:sz="4" w:space="0" w:color="auto"/>
            </w:tcBorders>
            <w:hideMark/>
          </w:tcPr>
          <w:p w14:paraId="194DA635"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[No]</w:t>
            </w:r>
          </w:p>
        </w:tc>
        <w:tc>
          <w:tcPr>
            <w:tcW w:w="921" w:type="dxa"/>
            <w:tcBorders>
              <w:top w:val="single" w:sz="4" w:space="0" w:color="auto"/>
              <w:left w:val="single" w:sz="4" w:space="0" w:color="auto"/>
              <w:bottom w:val="single" w:sz="4" w:space="0" w:color="auto"/>
              <w:right w:val="single" w:sz="4" w:space="0" w:color="auto"/>
            </w:tcBorders>
          </w:tcPr>
          <w:p w14:paraId="52EE041D"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hideMark/>
          </w:tcPr>
          <w:p w14:paraId="1020A39B"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For RedCap UEs, the 256QAM MCS table for PDSCH and CQI table 2 are only supported if the UE supports 256QAM for PDSCH.</w:t>
            </w:r>
          </w:p>
        </w:tc>
        <w:tc>
          <w:tcPr>
            <w:tcW w:w="1378" w:type="dxa"/>
            <w:tcBorders>
              <w:top w:val="single" w:sz="4" w:space="0" w:color="auto"/>
              <w:left w:val="single" w:sz="4" w:space="0" w:color="auto"/>
              <w:bottom w:val="single" w:sz="4" w:space="0" w:color="auto"/>
              <w:right w:val="single" w:sz="4" w:space="0" w:color="auto"/>
            </w:tcBorders>
            <w:hideMark/>
          </w:tcPr>
          <w:p w14:paraId="4F312755"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Optional</w:t>
            </w:r>
            <w:r w:rsidRPr="00FD430E">
              <w:rPr>
                <w:rFonts w:ascii="Calibri Light" w:eastAsia="MS Mincho" w:hAnsi="Calibri Light" w:cs="Calibri Light"/>
                <w:sz w:val="14"/>
                <w:szCs w:val="14"/>
                <w:lang w:val="en-GB" w:eastAsia="ja-JP"/>
              </w:rPr>
              <w:t xml:space="preserve"> with capability signaling</w:t>
            </w:r>
          </w:p>
        </w:tc>
      </w:tr>
      <w:tr w:rsidR="00FD430E" w:rsidRPr="00FD430E" w14:paraId="3F48812A"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4FE3E3F9"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 xml:space="preserve"> 28.</w:t>
            </w:r>
            <w:r w:rsidRPr="00FD430E">
              <w:rPr>
                <w:rFonts w:ascii="Arial" w:eastAsia="MS Mincho" w:hAnsi="Arial"/>
                <w:sz w:val="14"/>
                <w:szCs w:val="14"/>
                <w:lang w:val="en-GB"/>
              </w:rPr>
              <w:t xml:space="preserve"> </w:t>
            </w:r>
            <w:r w:rsidRPr="00FD430E">
              <w:rPr>
                <w:rFonts w:ascii="Calibri Light" w:eastAsia="MS Mincho" w:hAnsi="Calibri Light" w:cs="Calibri Light"/>
                <w:sz w:val="14"/>
                <w:szCs w:val="14"/>
                <w:lang w:val="en-GB" w:eastAsia="ja-JP"/>
              </w:rPr>
              <w:t>NR_redcap</w:t>
            </w:r>
          </w:p>
        </w:tc>
        <w:tc>
          <w:tcPr>
            <w:tcW w:w="574" w:type="dxa"/>
            <w:tcBorders>
              <w:top w:val="single" w:sz="4" w:space="0" w:color="auto"/>
              <w:left w:val="single" w:sz="4" w:space="0" w:color="auto"/>
              <w:bottom w:val="single" w:sz="4" w:space="0" w:color="auto"/>
              <w:right w:val="single" w:sz="4" w:space="0" w:color="auto"/>
            </w:tcBorders>
            <w:hideMark/>
          </w:tcPr>
          <w:p w14:paraId="74ADA26B"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28-5</w:t>
            </w:r>
          </w:p>
        </w:tc>
        <w:tc>
          <w:tcPr>
            <w:tcW w:w="1119" w:type="dxa"/>
            <w:tcBorders>
              <w:top w:val="single" w:sz="4" w:space="0" w:color="auto"/>
              <w:left w:val="single" w:sz="4" w:space="0" w:color="auto"/>
              <w:bottom w:val="single" w:sz="4" w:space="0" w:color="auto"/>
              <w:right w:val="single" w:sz="4" w:space="0" w:color="auto"/>
            </w:tcBorders>
            <w:hideMark/>
          </w:tcPr>
          <w:p w14:paraId="443CD057"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UL 256QAM support for RedCap UE</w:t>
            </w:r>
          </w:p>
        </w:tc>
        <w:tc>
          <w:tcPr>
            <w:tcW w:w="2392" w:type="dxa"/>
            <w:tcBorders>
              <w:top w:val="single" w:sz="4" w:space="0" w:color="auto"/>
              <w:left w:val="single" w:sz="4" w:space="0" w:color="auto"/>
              <w:bottom w:val="single" w:sz="4" w:space="0" w:color="auto"/>
              <w:right w:val="single" w:sz="4" w:space="0" w:color="auto"/>
            </w:tcBorders>
            <w:hideMark/>
          </w:tcPr>
          <w:p w14:paraId="6C1181FA" w14:textId="77777777" w:rsidR="00FD430E" w:rsidRPr="00FD430E" w:rsidRDefault="00FD430E" w:rsidP="00FD430E">
            <w:pPr>
              <w:spacing w:afterLines="50"/>
              <w:contextualSpacing/>
              <w:rPr>
                <w:rFonts w:ascii="Calibri Light" w:eastAsia="Batang" w:hAnsi="Calibri Light" w:cs="Calibri Light"/>
                <w:sz w:val="14"/>
                <w:szCs w:val="14"/>
                <w:lang w:val="en-GB"/>
              </w:rPr>
            </w:pPr>
            <w:r w:rsidRPr="00FD430E">
              <w:rPr>
                <w:rFonts w:ascii="Calibri Light" w:eastAsia="Batang" w:hAnsi="Calibri Light" w:cs="Calibri Light"/>
                <w:sz w:val="14"/>
                <w:szCs w:val="14"/>
                <w:lang w:val="en-GB"/>
              </w:rPr>
              <w:t>1. Support of 256QAM for PUSCH for RedCap UE</w:t>
            </w:r>
          </w:p>
          <w:p w14:paraId="76B454FE" w14:textId="77777777" w:rsidR="00FD430E" w:rsidRPr="00FD430E" w:rsidRDefault="00FD430E" w:rsidP="00FD430E">
            <w:pPr>
              <w:spacing w:after="0"/>
              <w:contextualSpacing/>
              <w:rPr>
                <w:rFonts w:ascii="Calibri Light" w:eastAsia="Batang" w:hAnsi="Calibri Light" w:cs="Calibri Light"/>
                <w:sz w:val="14"/>
                <w:szCs w:val="14"/>
                <w:lang w:val="en-GB"/>
              </w:rPr>
            </w:pPr>
            <w:r w:rsidRPr="00FD430E">
              <w:rPr>
                <w:rFonts w:ascii="Calibri Light" w:eastAsia="Batang" w:hAnsi="Calibri Light" w:cs="Calibri Light"/>
                <w:sz w:val="14"/>
                <w:szCs w:val="14"/>
                <w:lang w:val="en-GB"/>
              </w:rPr>
              <w:t>2. Support of 256QAM MCS table (Table 5.1.3.1-2 in TS 38.214) for PUSCH for RedCap UE</w:t>
            </w:r>
          </w:p>
        </w:tc>
        <w:tc>
          <w:tcPr>
            <w:tcW w:w="820" w:type="dxa"/>
            <w:tcBorders>
              <w:top w:val="single" w:sz="4" w:space="0" w:color="auto"/>
              <w:left w:val="single" w:sz="4" w:space="0" w:color="auto"/>
              <w:bottom w:val="single" w:sz="4" w:space="0" w:color="auto"/>
              <w:right w:val="single" w:sz="4" w:space="0" w:color="auto"/>
            </w:tcBorders>
            <w:hideMark/>
          </w:tcPr>
          <w:p w14:paraId="7F2D9A2B"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28-1</w:t>
            </w:r>
          </w:p>
        </w:tc>
        <w:tc>
          <w:tcPr>
            <w:tcW w:w="727" w:type="dxa"/>
            <w:tcBorders>
              <w:top w:val="single" w:sz="4" w:space="0" w:color="auto"/>
              <w:left w:val="single" w:sz="4" w:space="0" w:color="auto"/>
              <w:bottom w:val="single" w:sz="4" w:space="0" w:color="auto"/>
              <w:right w:val="single" w:sz="4" w:space="0" w:color="auto"/>
            </w:tcBorders>
            <w:hideMark/>
          </w:tcPr>
          <w:p w14:paraId="1380543E"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val="en-GB" w:eastAsia="zh-CN"/>
              </w:rPr>
            </w:pPr>
            <w:r w:rsidRPr="00FD430E">
              <w:rPr>
                <w:rFonts w:ascii="Calibri Light" w:hAnsi="Calibri Light" w:cs="Calibri Light"/>
                <w:sz w:val="14"/>
                <w:szCs w:val="14"/>
                <w:lang w:val="en-GB" w:eastAsia="zh-CN"/>
              </w:rPr>
              <w:t>Yes</w:t>
            </w:r>
          </w:p>
        </w:tc>
        <w:tc>
          <w:tcPr>
            <w:tcW w:w="731" w:type="dxa"/>
            <w:tcBorders>
              <w:top w:val="single" w:sz="4" w:space="0" w:color="auto"/>
              <w:left w:val="single" w:sz="4" w:space="0" w:color="auto"/>
              <w:bottom w:val="single" w:sz="4" w:space="0" w:color="auto"/>
              <w:right w:val="single" w:sz="4" w:space="0" w:color="auto"/>
            </w:tcBorders>
          </w:tcPr>
          <w:p w14:paraId="3D2C824D"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890" w:type="dxa"/>
            <w:tcBorders>
              <w:top w:val="single" w:sz="4" w:space="0" w:color="auto"/>
              <w:left w:val="single" w:sz="4" w:space="0" w:color="auto"/>
              <w:bottom w:val="single" w:sz="4" w:space="0" w:color="auto"/>
              <w:right w:val="single" w:sz="4" w:space="0" w:color="auto"/>
            </w:tcBorders>
            <w:hideMark/>
          </w:tcPr>
          <w:p w14:paraId="6F8F8B27" w14:textId="77777777" w:rsidR="00FD430E" w:rsidRPr="00FD430E" w:rsidRDefault="00FD430E" w:rsidP="00FD430E">
            <w:pPr>
              <w:keepNext/>
              <w:keepLines/>
              <w:autoSpaceDE/>
              <w:autoSpaceDN/>
              <w:adjustRightInd/>
              <w:snapToGrid/>
              <w:spacing w:after="0"/>
              <w:jc w:val="left"/>
              <w:rPr>
                <w:rFonts w:ascii="Calibri Light" w:hAnsi="Calibri Light" w:cs="Calibri Light"/>
                <w:sz w:val="14"/>
                <w:szCs w:val="14"/>
                <w:lang w:eastAsia="zh-CN"/>
              </w:rPr>
            </w:pPr>
            <w:r w:rsidRPr="00FD430E">
              <w:rPr>
                <w:rFonts w:ascii="Calibri Light" w:hAnsi="Calibri Light" w:cs="Calibri Light"/>
                <w:sz w:val="14"/>
                <w:szCs w:val="14"/>
                <w:lang w:eastAsia="zh-CN"/>
              </w:rPr>
              <w:t>Impact on UE complexity and UL link performance at high SNR</w:t>
            </w:r>
          </w:p>
        </w:tc>
        <w:tc>
          <w:tcPr>
            <w:tcW w:w="754" w:type="dxa"/>
            <w:tcBorders>
              <w:top w:val="single" w:sz="4" w:space="0" w:color="auto"/>
              <w:left w:val="single" w:sz="4" w:space="0" w:color="auto"/>
              <w:bottom w:val="single" w:sz="4" w:space="0" w:color="auto"/>
              <w:right w:val="single" w:sz="4" w:space="0" w:color="auto"/>
            </w:tcBorders>
            <w:hideMark/>
          </w:tcPr>
          <w:p w14:paraId="70DA466F"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r w:rsidRPr="00FD430E">
              <w:rPr>
                <w:rFonts w:ascii="Calibri Light" w:eastAsia="MS Mincho" w:hAnsi="Calibri Light" w:cs="Calibri Light"/>
                <w:sz w:val="14"/>
                <w:szCs w:val="14"/>
                <w:lang w:val="en-GB" w:eastAsia="ja-JP"/>
              </w:rPr>
              <w:t>[Per band]</w:t>
            </w:r>
          </w:p>
        </w:tc>
        <w:tc>
          <w:tcPr>
            <w:tcW w:w="940" w:type="dxa"/>
            <w:tcBorders>
              <w:top w:val="single" w:sz="4" w:space="0" w:color="auto"/>
              <w:left w:val="single" w:sz="4" w:space="0" w:color="auto"/>
              <w:bottom w:val="single" w:sz="4" w:space="0" w:color="auto"/>
              <w:right w:val="single" w:sz="4" w:space="0" w:color="auto"/>
            </w:tcBorders>
            <w:hideMark/>
          </w:tcPr>
          <w:p w14:paraId="00CD067E"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No</w:t>
            </w:r>
          </w:p>
        </w:tc>
        <w:tc>
          <w:tcPr>
            <w:tcW w:w="940" w:type="dxa"/>
            <w:tcBorders>
              <w:top w:val="single" w:sz="4" w:space="0" w:color="auto"/>
              <w:left w:val="single" w:sz="4" w:space="0" w:color="auto"/>
              <w:bottom w:val="single" w:sz="4" w:space="0" w:color="auto"/>
              <w:right w:val="single" w:sz="4" w:space="0" w:color="auto"/>
            </w:tcBorders>
            <w:hideMark/>
          </w:tcPr>
          <w:p w14:paraId="547EAE1E"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[No]</w:t>
            </w:r>
          </w:p>
        </w:tc>
        <w:tc>
          <w:tcPr>
            <w:tcW w:w="921" w:type="dxa"/>
            <w:tcBorders>
              <w:top w:val="single" w:sz="4" w:space="0" w:color="auto"/>
              <w:left w:val="single" w:sz="4" w:space="0" w:color="auto"/>
              <w:bottom w:val="single" w:sz="4" w:space="0" w:color="auto"/>
              <w:right w:val="single" w:sz="4" w:space="0" w:color="auto"/>
            </w:tcBorders>
          </w:tcPr>
          <w:p w14:paraId="1AEAA465"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hideMark/>
          </w:tcPr>
          <w:p w14:paraId="36B1806C"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For RedCap UEs, the 256QAM MCS table for PUSCH is only supported if the UE supports 256QAM for PUSCH.</w:t>
            </w:r>
          </w:p>
        </w:tc>
        <w:tc>
          <w:tcPr>
            <w:tcW w:w="1378" w:type="dxa"/>
            <w:tcBorders>
              <w:top w:val="single" w:sz="4" w:space="0" w:color="auto"/>
              <w:left w:val="single" w:sz="4" w:space="0" w:color="auto"/>
              <w:bottom w:val="single" w:sz="4" w:space="0" w:color="auto"/>
              <w:right w:val="single" w:sz="4" w:space="0" w:color="auto"/>
            </w:tcBorders>
            <w:hideMark/>
          </w:tcPr>
          <w:p w14:paraId="52987EE2" w14:textId="77777777" w:rsidR="00FD430E" w:rsidRPr="00FD430E" w:rsidRDefault="00FD430E" w:rsidP="00FD430E">
            <w:pPr>
              <w:keepNext/>
              <w:keepLines/>
              <w:autoSpaceDE/>
              <w:autoSpaceDN/>
              <w:adjustRightInd/>
              <w:snapToGrid/>
              <w:spacing w:after="0"/>
              <w:jc w:val="left"/>
              <w:rPr>
                <w:rFonts w:ascii="Calibri Light" w:eastAsia="MS Mincho" w:hAnsi="Calibri Light" w:cs="Calibri Light"/>
                <w:sz w:val="14"/>
                <w:szCs w:val="14"/>
                <w:lang w:val="en-GB"/>
              </w:rPr>
            </w:pPr>
            <w:r w:rsidRPr="00FD430E">
              <w:rPr>
                <w:rFonts w:ascii="Calibri Light" w:eastAsia="MS Mincho" w:hAnsi="Calibri Light" w:cs="Calibri Light"/>
                <w:sz w:val="14"/>
                <w:szCs w:val="14"/>
                <w:lang w:val="en-GB"/>
              </w:rPr>
              <w:t>Optional</w:t>
            </w:r>
            <w:r w:rsidRPr="00FD430E">
              <w:rPr>
                <w:rFonts w:ascii="Calibri Light" w:eastAsia="MS Mincho" w:hAnsi="Calibri Light" w:cs="Calibri Light"/>
                <w:sz w:val="14"/>
                <w:szCs w:val="14"/>
                <w:lang w:val="en-GB" w:eastAsia="ja-JP"/>
              </w:rPr>
              <w:t xml:space="preserve"> with capability signaling</w:t>
            </w:r>
          </w:p>
        </w:tc>
      </w:tr>
    </w:tbl>
    <w:p w14:paraId="54CCE8DB" w14:textId="77777777" w:rsidR="002F1C19" w:rsidRPr="00CF2A29" w:rsidRDefault="002F1C19" w:rsidP="002F1C19">
      <w:pPr>
        <w:widowControl w:val="0"/>
        <w:overflowPunct w:val="0"/>
        <w:snapToGrid/>
      </w:pPr>
    </w:p>
    <w:sectPr w:rsidR="002F1C19" w:rsidRPr="00CF2A29" w:rsidSect="00FD430E">
      <w:pgSz w:w="15840" w:h="12240" w:orient="landscape"/>
      <w:pgMar w:top="1440" w:right="1440" w:bottom="1440" w:left="24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ABFFC" w14:textId="77777777" w:rsidR="005F3AF5" w:rsidRDefault="005F3AF5" w:rsidP="004C0876">
      <w:pPr>
        <w:spacing w:after="0"/>
      </w:pPr>
      <w:r>
        <w:separator/>
      </w:r>
    </w:p>
  </w:endnote>
  <w:endnote w:type="continuationSeparator" w:id="0">
    <w:p w14:paraId="42BF148E" w14:textId="77777777" w:rsidR="005F3AF5" w:rsidRDefault="005F3AF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8482D" w14:textId="77777777" w:rsidR="005F3AF5" w:rsidRDefault="005F3AF5" w:rsidP="004C0876">
      <w:pPr>
        <w:spacing w:after="0"/>
      </w:pPr>
      <w:r>
        <w:separator/>
      </w:r>
    </w:p>
  </w:footnote>
  <w:footnote w:type="continuationSeparator" w:id="0">
    <w:p w14:paraId="78320263" w14:textId="77777777" w:rsidR="005F3AF5" w:rsidRDefault="005F3AF5"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1390E"/>
    <w:multiLevelType w:val="hybridMultilevel"/>
    <w:tmpl w:val="0FEEA06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6A122FE"/>
    <w:multiLevelType w:val="hybridMultilevel"/>
    <w:tmpl w:val="4EBAAE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F5830"/>
    <w:multiLevelType w:val="hybridMultilevel"/>
    <w:tmpl w:val="E9B09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DB9681E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7DCA4E60">
      <w:numFmt w:val="bullet"/>
      <w:lvlText w:val="•"/>
      <w:lvlJc w:val="left"/>
      <w:pPr>
        <w:ind w:left="3240" w:hanging="360"/>
      </w:pPr>
      <w:rPr>
        <w:rFonts w:ascii="Times New Roman" w:eastAsia="SimSun" w:hAnsi="Times New Roman" w:cs="Times New Roman"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F36688"/>
    <w:multiLevelType w:val="hybridMultilevel"/>
    <w:tmpl w:val="4358E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67D5920"/>
    <w:multiLevelType w:val="hybridMultilevel"/>
    <w:tmpl w:val="C1F0BCD6"/>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481406"/>
    <w:multiLevelType w:val="hybridMultilevel"/>
    <w:tmpl w:val="D7127B3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764571"/>
    <w:multiLevelType w:val="hybridMultilevel"/>
    <w:tmpl w:val="94169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9A476B"/>
    <w:multiLevelType w:val="hybridMultilevel"/>
    <w:tmpl w:val="3D6E08A2"/>
    <w:lvl w:ilvl="0" w:tplc="4A400898">
      <w:start w:val="28"/>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AB17FC"/>
    <w:multiLevelType w:val="hybridMultilevel"/>
    <w:tmpl w:val="E22C6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9"/>
  </w:num>
  <w:num w:numId="2">
    <w:abstractNumId w:val="13"/>
  </w:num>
  <w:num w:numId="3">
    <w:abstractNumId w:val="20"/>
  </w:num>
  <w:num w:numId="4">
    <w:abstractNumId w:val="8"/>
  </w:num>
  <w:num w:numId="5">
    <w:abstractNumId w:val="11"/>
  </w:num>
  <w:num w:numId="6">
    <w:abstractNumId w:val="0"/>
  </w:num>
  <w:num w:numId="7">
    <w:abstractNumId w:val="16"/>
  </w:num>
  <w:num w:numId="8">
    <w:abstractNumId w:val="6"/>
  </w:num>
  <w:num w:numId="9">
    <w:abstractNumId w:val="1"/>
  </w:num>
  <w:num w:numId="10">
    <w:abstractNumId w:val="14"/>
  </w:num>
  <w:num w:numId="11">
    <w:abstractNumId w:val="12"/>
  </w:num>
  <w:num w:numId="12">
    <w:abstractNumId w:val="15"/>
  </w:num>
  <w:num w:numId="13">
    <w:abstractNumId w:val="19"/>
  </w:num>
  <w:num w:numId="14">
    <w:abstractNumId w:val="2"/>
  </w:num>
  <w:num w:numId="15">
    <w:abstractNumId w:val="4"/>
  </w:num>
  <w:num w:numId="16">
    <w:abstractNumId w:val="5"/>
  </w:num>
  <w:num w:numId="17">
    <w:abstractNumId w:val="0"/>
  </w:num>
  <w:num w:numId="18">
    <w:abstractNumId w:val="5"/>
  </w:num>
  <w:num w:numId="19">
    <w:abstractNumId w:val="4"/>
  </w:num>
  <w:num w:numId="20">
    <w:abstractNumId w:val="17"/>
  </w:num>
  <w:num w:numId="21">
    <w:abstractNumId w:val="3"/>
  </w:num>
  <w:num w:numId="22">
    <w:abstractNumId w:val="18"/>
  </w:num>
  <w:num w:numId="23">
    <w:abstractNumId w:val="10"/>
  </w:num>
  <w:num w:numId="2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4D5D"/>
    <w:rsid w:val="000058ED"/>
    <w:rsid w:val="00005F7B"/>
    <w:rsid w:val="000107BE"/>
    <w:rsid w:val="00011D4C"/>
    <w:rsid w:val="000123AD"/>
    <w:rsid w:val="000126B2"/>
    <w:rsid w:val="00012884"/>
    <w:rsid w:val="000132CD"/>
    <w:rsid w:val="0001344B"/>
    <w:rsid w:val="000140A3"/>
    <w:rsid w:val="00015391"/>
    <w:rsid w:val="00015B27"/>
    <w:rsid w:val="00016127"/>
    <w:rsid w:val="000161B0"/>
    <w:rsid w:val="000162C8"/>
    <w:rsid w:val="00020C1D"/>
    <w:rsid w:val="00021C06"/>
    <w:rsid w:val="0002393D"/>
    <w:rsid w:val="000248C2"/>
    <w:rsid w:val="00025E62"/>
    <w:rsid w:val="000264AB"/>
    <w:rsid w:val="000268F5"/>
    <w:rsid w:val="00026966"/>
    <w:rsid w:val="0003071C"/>
    <w:rsid w:val="00031D16"/>
    <w:rsid w:val="00031EE5"/>
    <w:rsid w:val="000336F4"/>
    <w:rsid w:val="00033B5F"/>
    <w:rsid w:val="000346AB"/>
    <w:rsid w:val="000368EC"/>
    <w:rsid w:val="00036E6A"/>
    <w:rsid w:val="000422D2"/>
    <w:rsid w:val="0004339C"/>
    <w:rsid w:val="0004518F"/>
    <w:rsid w:val="000478EB"/>
    <w:rsid w:val="0005089C"/>
    <w:rsid w:val="000519E2"/>
    <w:rsid w:val="000546FE"/>
    <w:rsid w:val="00056843"/>
    <w:rsid w:val="00057A3B"/>
    <w:rsid w:val="00060BC7"/>
    <w:rsid w:val="00066263"/>
    <w:rsid w:val="00066338"/>
    <w:rsid w:val="00066DDA"/>
    <w:rsid w:val="00067254"/>
    <w:rsid w:val="00070CD1"/>
    <w:rsid w:val="00071485"/>
    <w:rsid w:val="00071BAC"/>
    <w:rsid w:val="0007221F"/>
    <w:rsid w:val="00073439"/>
    <w:rsid w:val="00074ADB"/>
    <w:rsid w:val="000758D2"/>
    <w:rsid w:val="00077CC0"/>
    <w:rsid w:val="000806DE"/>
    <w:rsid w:val="000810C2"/>
    <w:rsid w:val="00082893"/>
    <w:rsid w:val="00083593"/>
    <w:rsid w:val="000842F5"/>
    <w:rsid w:val="0008537E"/>
    <w:rsid w:val="0009167E"/>
    <w:rsid w:val="00093F5B"/>
    <w:rsid w:val="00094148"/>
    <w:rsid w:val="0009490D"/>
    <w:rsid w:val="00095033"/>
    <w:rsid w:val="0009546B"/>
    <w:rsid w:val="000969AE"/>
    <w:rsid w:val="00096EC1"/>
    <w:rsid w:val="000972C8"/>
    <w:rsid w:val="000978FB"/>
    <w:rsid w:val="000A03F9"/>
    <w:rsid w:val="000A1390"/>
    <w:rsid w:val="000A13B4"/>
    <w:rsid w:val="000A2F7F"/>
    <w:rsid w:val="000A2FE7"/>
    <w:rsid w:val="000A34D3"/>
    <w:rsid w:val="000A353B"/>
    <w:rsid w:val="000A4D13"/>
    <w:rsid w:val="000A5976"/>
    <w:rsid w:val="000A7E44"/>
    <w:rsid w:val="000B01A0"/>
    <w:rsid w:val="000B1C23"/>
    <w:rsid w:val="000B23B6"/>
    <w:rsid w:val="000B3706"/>
    <w:rsid w:val="000B4138"/>
    <w:rsid w:val="000B4FA2"/>
    <w:rsid w:val="000B507F"/>
    <w:rsid w:val="000C0A12"/>
    <w:rsid w:val="000C0ADD"/>
    <w:rsid w:val="000C17DD"/>
    <w:rsid w:val="000C45B5"/>
    <w:rsid w:val="000C484A"/>
    <w:rsid w:val="000C4CF7"/>
    <w:rsid w:val="000C544E"/>
    <w:rsid w:val="000C5541"/>
    <w:rsid w:val="000C71C2"/>
    <w:rsid w:val="000D0C2C"/>
    <w:rsid w:val="000D1DBA"/>
    <w:rsid w:val="000D261B"/>
    <w:rsid w:val="000D3E51"/>
    <w:rsid w:val="000D504F"/>
    <w:rsid w:val="000D6144"/>
    <w:rsid w:val="000E007E"/>
    <w:rsid w:val="000E3AFE"/>
    <w:rsid w:val="000E3E22"/>
    <w:rsid w:val="000E453D"/>
    <w:rsid w:val="000E4CF3"/>
    <w:rsid w:val="000E4FA8"/>
    <w:rsid w:val="000E539A"/>
    <w:rsid w:val="000E5F47"/>
    <w:rsid w:val="000E6708"/>
    <w:rsid w:val="000E7322"/>
    <w:rsid w:val="000E78BA"/>
    <w:rsid w:val="000F01A6"/>
    <w:rsid w:val="000F0CB9"/>
    <w:rsid w:val="000F1E6E"/>
    <w:rsid w:val="000F33C3"/>
    <w:rsid w:val="000F3F71"/>
    <w:rsid w:val="000F54B2"/>
    <w:rsid w:val="000F5C68"/>
    <w:rsid w:val="000F6703"/>
    <w:rsid w:val="000F7D6D"/>
    <w:rsid w:val="0010108F"/>
    <w:rsid w:val="00101523"/>
    <w:rsid w:val="0010210F"/>
    <w:rsid w:val="001033FE"/>
    <w:rsid w:val="00104598"/>
    <w:rsid w:val="00105B85"/>
    <w:rsid w:val="00105D40"/>
    <w:rsid w:val="00105E22"/>
    <w:rsid w:val="00107AB7"/>
    <w:rsid w:val="00107B7C"/>
    <w:rsid w:val="0011528F"/>
    <w:rsid w:val="00115FDB"/>
    <w:rsid w:val="00116339"/>
    <w:rsid w:val="00117014"/>
    <w:rsid w:val="00117834"/>
    <w:rsid w:val="001179B7"/>
    <w:rsid w:val="00122885"/>
    <w:rsid w:val="001228AD"/>
    <w:rsid w:val="00122E13"/>
    <w:rsid w:val="00124713"/>
    <w:rsid w:val="001257F7"/>
    <w:rsid w:val="00125A40"/>
    <w:rsid w:val="00126B77"/>
    <w:rsid w:val="00130151"/>
    <w:rsid w:val="00131566"/>
    <w:rsid w:val="001316EB"/>
    <w:rsid w:val="00132CEA"/>
    <w:rsid w:val="00133BF3"/>
    <w:rsid w:val="001341DE"/>
    <w:rsid w:val="00134601"/>
    <w:rsid w:val="00136B68"/>
    <w:rsid w:val="00140471"/>
    <w:rsid w:val="0014156D"/>
    <w:rsid w:val="00142C4D"/>
    <w:rsid w:val="00143AA5"/>
    <w:rsid w:val="001459DF"/>
    <w:rsid w:val="001508BE"/>
    <w:rsid w:val="001524AF"/>
    <w:rsid w:val="00152BCF"/>
    <w:rsid w:val="00152DB1"/>
    <w:rsid w:val="001533F3"/>
    <w:rsid w:val="001539A0"/>
    <w:rsid w:val="00154219"/>
    <w:rsid w:val="00154543"/>
    <w:rsid w:val="00155115"/>
    <w:rsid w:val="00155157"/>
    <w:rsid w:val="001567AA"/>
    <w:rsid w:val="0015717C"/>
    <w:rsid w:val="00157961"/>
    <w:rsid w:val="00157B95"/>
    <w:rsid w:val="001608D8"/>
    <w:rsid w:val="00164AEB"/>
    <w:rsid w:val="00165495"/>
    <w:rsid w:val="00166E1E"/>
    <w:rsid w:val="00167110"/>
    <w:rsid w:val="00170850"/>
    <w:rsid w:val="001719B6"/>
    <w:rsid w:val="001756CC"/>
    <w:rsid w:val="00175822"/>
    <w:rsid w:val="001761A1"/>
    <w:rsid w:val="00176BA2"/>
    <w:rsid w:val="0017724D"/>
    <w:rsid w:val="00183AD9"/>
    <w:rsid w:val="00183D53"/>
    <w:rsid w:val="00183D99"/>
    <w:rsid w:val="00185C61"/>
    <w:rsid w:val="00186C7F"/>
    <w:rsid w:val="00186F19"/>
    <w:rsid w:val="00191DD9"/>
    <w:rsid w:val="00192AFC"/>
    <w:rsid w:val="00193D4C"/>
    <w:rsid w:val="00195805"/>
    <w:rsid w:val="001968A1"/>
    <w:rsid w:val="00197009"/>
    <w:rsid w:val="0019713C"/>
    <w:rsid w:val="001972D1"/>
    <w:rsid w:val="001A0451"/>
    <w:rsid w:val="001A089E"/>
    <w:rsid w:val="001A2BEC"/>
    <w:rsid w:val="001A2F6C"/>
    <w:rsid w:val="001A40FE"/>
    <w:rsid w:val="001A4DE7"/>
    <w:rsid w:val="001A52DB"/>
    <w:rsid w:val="001A54C1"/>
    <w:rsid w:val="001A584E"/>
    <w:rsid w:val="001A7CD0"/>
    <w:rsid w:val="001B0A55"/>
    <w:rsid w:val="001B0CAC"/>
    <w:rsid w:val="001B117D"/>
    <w:rsid w:val="001B2246"/>
    <w:rsid w:val="001B6257"/>
    <w:rsid w:val="001C0C19"/>
    <w:rsid w:val="001C0EEB"/>
    <w:rsid w:val="001C1DB4"/>
    <w:rsid w:val="001C2991"/>
    <w:rsid w:val="001C3727"/>
    <w:rsid w:val="001C45D3"/>
    <w:rsid w:val="001C4F2F"/>
    <w:rsid w:val="001C4F95"/>
    <w:rsid w:val="001D08D5"/>
    <w:rsid w:val="001D0A90"/>
    <w:rsid w:val="001D0D21"/>
    <w:rsid w:val="001D4654"/>
    <w:rsid w:val="001D4BE1"/>
    <w:rsid w:val="001D597B"/>
    <w:rsid w:val="001D77CC"/>
    <w:rsid w:val="001E06A4"/>
    <w:rsid w:val="001E08B1"/>
    <w:rsid w:val="001E1A92"/>
    <w:rsid w:val="001E1D21"/>
    <w:rsid w:val="001E2DC5"/>
    <w:rsid w:val="001E3135"/>
    <w:rsid w:val="001E5720"/>
    <w:rsid w:val="001E7341"/>
    <w:rsid w:val="001E73E4"/>
    <w:rsid w:val="001E7B44"/>
    <w:rsid w:val="001E7B74"/>
    <w:rsid w:val="001E7C81"/>
    <w:rsid w:val="001F00BB"/>
    <w:rsid w:val="001F1201"/>
    <w:rsid w:val="001F2E85"/>
    <w:rsid w:val="001F3C61"/>
    <w:rsid w:val="001F3D96"/>
    <w:rsid w:val="001F46C4"/>
    <w:rsid w:val="001F51E5"/>
    <w:rsid w:val="001F64A9"/>
    <w:rsid w:val="001F65A5"/>
    <w:rsid w:val="001F6B7F"/>
    <w:rsid w:val="001F7087"/>
    <w:rsid w:val="00200F8F"/>
    <w:rsid w:val="002018B8"/>
    <w:rsid w:val="00201E86"/>
    <w:rsid w:val="00202958"/>
    <w:rsid w:val="00202B61"/>
    <w:rsid w:val="00203100"/>
    <w:rsid w:val="0020334F"/>
    <w:rsid w:val="002053D9"/>
    <w:rsid w:val="00205E91"/>
    <w:rsid w:val="002068D1"/>
    <w:rsid w:val="00207323"/>
    <w:rsid w:val="0020747E"/>
    <w:rsid w:val="00207D91"/>
    <w:rsid w:val="00211B66"/>
    <w:rsid w:val="00211D62"/>
    <w:rsid w:val="00212CC6"/>
    <w:rsid w:val="002137B3"/>
    <w:rsid w:val="00215DF8"/>
    <w:rsid w:val="0021700D"/>
    <w:rsid w:val="00217B5F"/>
    <w:rsid w:val="002212B8"/>
    <w:rsid w:val="0022186C"/>
    <w:rsid w:val="00222372"/>
    <w:rsid w:val="00222A70"/>
    <w:rsid w:val="002234A7"/>
    <w:rsid w:val="002237A3"/>
    <w:rsid w:val="002237E6"/>
    <w:rsid w:val="00224209"/>
    <w:rsid w:val="00230496"/>
    <w:rsid w:val="002319DA"/>
    <w:rsid w:val="00232853"/>
    <w:rsid w:val="00232CAC"/>
    <w:rsid w:val="0023365D"/>
    <w:rsid w:val="002336C0"/>
    <w:rsid w:val="002347E5"/>
    <w:rsid w:val="00234EB8"/>
    <w:rsid w:val="002376E3"/>
    <w:rsid w:val="00240004"/>
    <w:rsid w:val="00240315"/>
    <w:rsid w:val="00240779"/>
    <w:rsid w:val="00240A24"/>
    <w:rsid w:val="00241CB7"/>
    <w:rsid w:val="002470AB"/>
    <w:rsid w:val="0024716A"/>
    <w:rsid w:val="002500FC"/>
    <w:rsid w:val="00251181"/>
    <w:rsid w:val="002518AC"/>
    <w:rsid w:val="002547C6"/>
    <w:rsid w:val="00254915"/>
    <w:rsid w:val="002555EA"/>
    <w:rsid w:val="00256322"/>
    <w:rsid w:val="00256333"/>
    <w:rsid w:val="00257091"/>
    <w:rsid w:val="002570CB"/>
    <w:rsid w:val="002579A4"/>
    <w:rsid w:val="002605A8"/>
    <w:rsid w:val="0026234E"/>
    <w:rsid w:val="0026628E"/>
    <w:rsid w:val="002703CA"/>
    <w:rsid w:val="0027127B"/>
    <w:rsid w:val="0027138F"/>
    <w:rsid w:val="00272135"/>
    <w:rsid w:val="00273359"/>
    <w:rsid w:val="00274972"/>
    <w:rsid w:val="002759A2"/>
    <w:rsid w:val="002815BC"/>
    <w:rsid w:val="00283651"/>
    <w:rsid w:val="00283CE6"/>
    <w:rsid w:val="00284D0A"/>
    <w:rsid w:val="00285465"/>
    <w:rsid w:val="00285D81"/>
    <w:rsid w:val="00287127"/>
    <w:rsid w:val="0028713D"/>
    <w:rsid w:val="002903F0"/>
    <w:rsid w:val="002904B8"/>
    <w:rsid w:val="002912A4"/>
    <w:rsid w:val="002940DE"/>
    <w:rsid w:val="002941D2"/>
    <w:rsid w:val="00294D50"/>
    <w:rsid w:val="00294EC7"/>
    <w:rsid w:val="00295114"/>
    <w:rsid w:val="00295687"/>
    <w:rsid w:val="00295E1C"/>
    <w:rsid w:val="00296846"/>
    <w:rsid w:val="002A094B"/>
    <w:rsid w:val="002A288F"/>
    <w:rsid w:val="002A4C8D"/>
    <w:rsid w:val="002A4D2B"/>
    <w:rsid w:val="002A5D6A"/>
    <w:rsid w:val="002A6E15"/>
    <w:rsid w:val="002B0B35"/>
    <w:rsid w:val="002B254D"/>
    <w:rsid w:val="002B33EA"/>
    <w:rsid w:val="002B4397"/>
    <w:rsid w:val="002B565D"/>
    <w:rsid w:val="002B5711"/>
    <w:rsid w:val="002B5780"/>
    <w:rsid w:val="002B6308"/>
    <w:rsid w:val="002B647B"/>
    <w:rsid w:val="002B7E5F"/>
    <w:rsid w:val="002C0FF0"/>
    <w:rsid w:val="002C2585"/>
    <w:rsid w:val="002C2CCF"/>
    <w:rsid w:val="002C2F53"/>
    <w:rsid w:val="002C3BEF"/>
    <w:rsid w:val="002C4ED3"/>
    <w:rsid w:val="002C5B81"/>
    <w:rsid w:val="002C6EE3"/>
    <w:rsid w:val="002C77D0"/>
    <w:rsid w:val="002D0444"/>
    <w:rsid w:val="002D0EAB"/>
    <w:rsid w:val="002D1279"/>
    <w:rsid w:val="002D1F61"/>
    <w:rsid w:val="002D39F9"/>
    <w:rsid w:val="002D47AD"/>
    <w:rsid w:val="002D5053"/>
    <w:rsid w:val="002D6854"/>
    <w:rsid w:val="002E0202"/>
    <w:rsid w:val="002E07D0"/>
    <w:rsid w:val="002E0D71"/>
    <w:rsid w:val="002E1C44"/>
    <w:rsid w:val="002E2AE5"/>
    <w:rsid w:val="002E2D4D"/>
    <w:rsid w:val="002E3491"/>
    <w:rsid w:val="002E54D3"/>
    <w:rsid w:val="002E5B51"/>
    <w:rsid w:val="002E5F18"/>
    <w:rsid w:val="002E6500"/>
    <w:rsid w:val="002E6651"/>
    <w:rsid w:val="002E6D80"/>
    <w:rsid w:val="002F0669"/>
    <w:rsid w:val="002F17FA"/>
    <w:rsid w:val="002F1C19"/>
    <w:rsid w:val="002F3829"/>
    <w:rsid w:val="002F59C6"/>
    <w:rsid w:val="002F67F9"/>
    <w:rsid w:val="002F72EF"/>
    <w:rsid w:val="003013AD"/>
    <w:rsid w:val="00302709"/>
    <w:rsid w:val="00303494"/>
    <w:rsid w:val="003039E9"/>
    <w:rsid w:val="00306524"/>
    <w:rsid w:val="00311618"/>
    <w:rsid w:val="0031191B"/>
    <w:rsid w:val="00312945"/>
    <w:rsid w:val="003138D8"/>
    <w:rsid w:val="00314772"/>
    <w:rsid w:val="00314D90"/>
    <w:rsid w:val="00315D8B"/>
    <w:rsid w:val="003161AB"/>
    <w:rsid w:val="00316FE4"/>
    <w:rsid w:val="00317C62"/>
    <w:rsid w:val="0032021A"/>
    <w:rsid w:val="003206D9"/>
    <w:rsid w:val="00324F04"/>
    <w:rsid w:val="00325424"/>
    <w:rsid w:val="00325D35"/>
    <w:rsid w:val="00326529"/>
    <w:rsid w:val="0032667D"/>
    <w:rsid w:val="003273DB"/>
    <w:rsid w:val="0032758F"/>
    <w:rsid w:val="00327E8D"/>
    <w:rsid w:val="00332C53"/>
    <w:rsid w:val="00332DAB"/>
    <w:rsid w:val="003343C7"/>
    <w:rsid w:val="0033579C"/>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82E"/>
    <w:rsid w:val="00360AC9"/>
    <w:rsid w:val="00360D81"/>
    <w:rsid w:val="00361449"/>
    <w:rsid w:val="003617AC"/>
    <w:rsid w:val="00363631"/>
    <w:rsid w:val="003636FA"/>
    <w:rsid w:val="00363D90"/>
    <w:rsid w:val="0036489E"/>
    <w:rsid w:val="00365284"/>
    <w:rsid w:val="00367943"/>
    <w:rsid w:val="003714E6"/>
    <w:rsid w:val="00371CD2"/>
    <w:rsid w:val="0037270E"/>
    <w:rsid w:val="00372D1B"/>
    <w:rsid w:val="00373064"/>
    <w:rsid w:val="003757A1"/>
    <w:rsid w:val="00380B12"/>
    <w:rsid w:val="00381DE8"/>
    <w:rsid w:val="00382306"/>
    <w:rsid w:val="00383C9D"/>
    <w:rsid w:val="00384478"/>
    <w:rsid w:val="00386C31"/>
    <w:rsid w:val="00386E2D"/>
    <w:rsid w:val="003877E5"/>
    <w:rsid w:val="0039171C"/>
    <w:rsid w:val="00393231"/>
    <w:rsid w:val="00393612"/>
    <w:rsid w:val="00393CAD"/>
    <w:rsid w:val="003940A3"/>
    <w:rsid w:val="00394395"/>
    <w:rsid w:val="00395618"/>
    <w:rsid w:val="003960B6"/>
    <w:rsid w:val="003A125F"/>
    <w:rsid w:val="003A15AB"/>
    <w:rsid w:val="003A6E08"/>
    <w:rsid w:val="003A752A"/>
    <w:rsid w:val="003B1EF4"/>
    <w:rsid w:val="003B27D8"/>
    <w:rsid w:val="003B3843"/>
    <w:rsid w:val="003B4A93"/>
    <w:rsid w:val="003B66AD"/>
    <w:rsid w:val="003B789C"/>
    <w:rsid w:val="003B7FC3"/>
    <w:rsid w:val="003C0107"/>
    <w:rsid w:val="003C3888"/>
    <w:rsid w:val="003C3F44"/>
    <w:rsid w:val="003C4470"/>
    <w:rsid w:val="003C64C0"/>
    <w:rsid w:val="003C7404"/>
    <w:rsid w:val="003D1F41"/>
    <w:rsid w:val="003D5061"/>
    <w:rsid w:val="003D6804"/>
    <w:rsid w:val="003D6C20"/>
    <w:rsid w:val="003D70B8"/>
    <w:rsid w:val="003E3B7B"/>
    <w:rsid w:val="003E5B4A"/>
    <w:rsid w:val="003E5E6C"/>
    <w:rsid w:val="003E64FE"/>
    <w:rsid w:val="003E6D49"/>
    <w:rsid w:val="003F0094"/>
    <w:rsid w:val="003F0FC0"/>
    <w:rsid w:val="003F1C83"/>
    <w:rsid w:val="003F2C80"/>
    <w:rsid w:val="003F342A"/>
    <w:rsid w:val="003F3E90"/>
    <w:rsid w:val="003F4458"/>
    <w:rsid w:val="003F6055"/>
    <w:rsid w:val="003F61F4"/>
    <w:rsid w:val="003F718B"/>
    <w:rsid w:val="003F7A2E"/>
    <w:rsid w:val="00400F3F"/>
    <w:rsid w:val="00400F4B"/>
    <w:rsid w:val="00400F6B"/>
    <w:rsid w:val="00402278"/>
    <w:rsid w:val="004033AC"/>
    <w:rsid w:val="00403808"/>
    <w:rsid w:val="00403F4B"/>
    <w:rsid w:val="00405B58"/>
    <w:rsid w:val="00406BA1"/>
    <w:rsid w:val="00407349"/>
    <w:rsid w:val="00411A32"/>
    <w:rsid w:val="00415016"/>
    <w:rsid w:val="004152DB"/>
    <w:rsid w:val="00416430"/>
    <w:rsid w:val="004166C7"/>
    <w:rsid w:val="00416B3A"/>
    <w:rsid w:val="00420B27"/>
    <w:rsid w:val="00421B53"/>
    <w:rsid w:val="00421CD3"/>
    <w:rsid w:val="00422213"/>
    <w:rsid w:val="004225F4"/>
    <w:rsid w:val="00423D57"/>
    <w:rsid w:val="00424309"/>
    <w:rsid w:val="00425063"/>
    <w:rsid w:val="0042583C"/>
    <w:rsid w:val="00425AF1"/>
    <w:rsid w:val="00426B9F"/>
    <w:rsid w:val="004275AA"/>
    <w:rsid w:val="00431409"/>
    <w:rsid w:val="004316B6"/>
    <w:rsid w:val="00432742"/>
    <w:rsid w:val="00436A72"/>
    <w:rsid w:val="00444E7B"/>
    <w:rsid w:val="00446A9A"/>
    <w:rsid w:val="00450658"/>
    <w:rsid w:val="00451E8B"/>
    <w:rsid w:val="00452FF4"/>
    <w:rsid w:val="004539CF"/>
    <w:rsid w:val="00453AE2"/>
    <w:rsid w:val="00453B30"/>
    <w:rsid w:val="004540FD"/>
    <w:rsid w:val="00455A38"/>
    <w:rsid w:val="00456445"/>
    <w:rsid w:val="004566E6"/>
    <w:rsid w:val="00456D82"/>
    <w:rsid w:val="00457B09"/>
    <w:rsid w:val="0046258E"/>
    <w:rsid w:val="00463B2F"/>
    <w:rsid w:val="0046448D"/>
    <w:rsid w:val="00464B14"/>
    <w:rsid w:val="0046624D"/>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1CA9"/>
    <w:rsid w:val="0048233C"/>
    <w:rsid w:val="004829D5"/>
    <w:rsid w:val="00483005"/>
    <w:rsid w:val="00483DE4"/>
    <w:rsid w:val="00484350"/>
    <w:rsid w:val="0048613C"/>
    <w:rsid w:val="00486F84"/>
    <w:rsid w:val="004872BB"/>
    <w:rsid w:val="0049086E"/>
    <w:rsid w:val="00491BE1"/>
    <w:rsid w:val="00491ECD"/>
    <w:rsid w:val="00496E1E"/>
    <w:rsid w:val="004A29B4"/>
    <w:rsid w:val="004A3353"/>
    <w:rsid w:val="004A56F2"/>
    <w:rsid w:val="004A5B78"/>
    <w:rsid w:val="004A66C5"/>
    <w:rsid w:val="004A698C"/>
    <w:rsid w:val="004A7A88"/>
    <w:rsid w:val="004A7FC1"/>
    <w:rsid w:val="004B1692"/>
    <w:rsid w:val="004B1F65"/>
    <w:rsid w:val="004B2B34"/>
    <w:rsid w:val="004B31EF"/>
    <w:rsid w:val="004B56FF"/>
    <w:rsid w:val="004B58F6"/>
    <w:rsid w:val="004B600A"/>
    <w:rsid w:val="004B6A27"/>
    <w:rsid w:val="004B7ED3"/>
    <w:rsid w:val="004C03AA"/>
    <w:rsid w:val="004C0876"/>
    <w:rsid w:val="004C0EA1"/>
    <w:rsid w:val="004C373B"/>
    <w:rsid w:val="004C51B4"/>
    <w:rsid w:val="004C5AB1"/>
    <w:rsid w:val="004D03D5"/>
    <w:rsid w:val="004D08B1"/>
    <w:rsid w:val="004D15DC"/>
    <w:rsid w:val="004D1660"/>
    <w:rsid w:val="004D26CA"/>
    <w:rsid w:val="004D4350"/>
    <w:rsid w:val="004D4B46"/>
    <w:rsid w:val="004D4EC9"/>
    <w:rsid w:val="004D5153"/>
    <w:rsid w:val="004D5C15"/>
    <w:rsid w:val="004D62E2"/>
    <w:rsid w:val="004D6782"/>
    <w:rsid w:val="004D70C9"/>
    <w:rsid w:val="004E06A6"/>
    <w:rsid w:val="004E06F4"/>
    <w:rsid w:val="004E186A"/>
    <w:rsid w:val="004E1E40"/>
    <w:rsid w:val="004E25E8"/>
    <w:rsid w:val="004E3E1B"/>
    <w:rsid w:val="004E3FFA"/>
    <w:rsid w:val="004E411E"/>
    <w:rsid w:val="004E5562"/>
    <w:rsid w:val="004E628C"/>
    <w:rsid w:val="004E67E2"/>
    <w:rsid w:val="004E7548"/>
    <w:rsid w:val="004E75BE"/>
    <w:rsid w:val="004E785E"/>
    <w:rsid w:val="004E7B98"/>
    <w:rsid w:val="004F072F"/>
    <w:rsid w:val="004F42D4"/>
    <w:rsid w:val="005012D8"/>
    <w:rsid w:val="00501757"/>
    <w:rsid w:val="0050245D"/>
    <w:rsid w:val="0050324C"/>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2118"/>
    <w:rsid w:val="00522931"/>
    <w:rsid w:val="00526069"/>
    <w:rsid w:val="00526711"/>
    <w:rsid w:val="005274EA"/>
    <w:rsid w:val="00527A5F"/>
    <w:rsid w:val="00527DB8"/>
    <w:rsid w:val="005307D2"/>
    <w:rsid w:val="00531E61"/>
    <w:rsid w:val="00532625"/>
    <w:rsid w:val="0053306F"/>
    <w:rsid w:val="0053516D"/>
    <w:rsid w:val="005357B3"/>
    <w:rsid w:val="005366F4"/>
    <w:rsid w:val="00536923"/>
    <w:rsid w:val="00537269"/>
    <w:rsid w:val="00541492"/>
    <w:rsid w:val="00542C3E"/>
    <w:rsid w:val="005432FA"/>
    <w:rsid w:val="00545D32"/>
    <w:rsid w:val="0054670D"/>
    <w:rsid w:val="005474C2"/>
    <w:rsid w:val="005517DE"/>
    <w:rsid w:val="0055261D"/>
    <w:rsid w:val="00553025"/>
    <w:rsid w:val="0055356A"/>
    <w:rsid w:val="0055423B"/>
    <w:rsid w:val="0055517A"/>
    <w:rsid w:val="005555AB"/>
    <w:rsid w:val="00556E47"/>
    <w:rsid w:val="00556F18"/>
    <w:rsid w:val="005602D4"/>
    <w:rsid w:val="0056066F"/>
    <w:rsid w:val="00560F89"/>
    <w:rsid w:val="0056158E"/>
    <w:rsid w:val="005623AD"/>
    <w:rsid w:val="00563AE3"/>
    <w:rsid w:val="005663B3"/>
    <w:rsid w:val="00566E19"/>
    <w:rsid w:val="005676A9"/>
    <w:rsid w:val="00567A07"/>
    <w:rsid w:val="00570C00"/>
    <w:rsid w:val="00571085"/>
    <w:rsid w:val="00571EF8"/>
    <w:rsid w:val="00572A88"/>
    <w:rsid w:val="00574601"/>
    <w:rsid w:val="00575FF3"/>
    <w:rsid w:val="00576317"/>
    <w:rsid w:val="00576B87"/>
    <w:rsid w:val="00577292"/>
    <w:rsid w:val="00580364"/>
    <w:rsid w:val="00582863"/>
    <w:rsid w:val="00583ABA"/>
    <w:rsid w:val="00584507"/>
    <w:rsid w:val="00584645"/>
    <w:rsid w:val="00585826"/>
    <w:rsid w:val="00587799"/>
    <w:rsid w:val="00587979"/>
    <w:rsid w:val="00590AC1"/>
    <w:rsid w:val="0059296E"/>
    <w:rsid w:val="0059316E"/>
    <w:rsid w:val="00593743"/>
    <w:rsid w:val="00593F41"/>
    <w:rsid w:val="0059616A"/>
    <w:rsid w:val="00596A20"/>
    <w:rsid w:val="005977D0"/>
    <w:rsid w:val="005979EE"/>
    <w:rsid w:val="00597E69"/>
    <w:rsid w:val="005A028C"/>
    <w:rsid w:val="005A15C9"/>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3671"/>
    <w:rsid w:val="005B3D3B"/>
    <w:rsid w:val="005B56C3"/>
    <w:rsid w:val="005B5D1C"/>
    <w:rsid w:val="005B78F4"/>
    <w:rsid w:val="005C0AAD"/>
    <w:rsid w:val="005C0AEE"/>
    <w:rsid w:val="005C1B3F"/>
    <w:rsid w:val="005C2450"/>
    <w:rsid w:val="005C2E83"/>
    <w:rsid w:val="005C3365"/>
    <w:rsid w:val="005C47CE"/>
    <w:rsid w:val="005C74BE"/>
    <w:rsid w:val="005D05A8"/>
    <w:rsid w:val="005D28A7"/>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3E7"/>
    <w:rsid w:val="005F7876"/>
    <w:rsid w:val="00600954"/>
    <w:rsid w:val="006027A7"/>
    <w:rsid w:val="006032FE"/>
    <w:rsid w:val="0060334F"/>
    <w:rsid w:val="0060375F"/>
    <w:rsid w:val="006037C1"/>
    <w:rsid w:val="00603BD8"/>
    <w:rsid w:val="00603F9D"/>
    <w:rsid w:val="00605A1A"/>
    <w:rsid w:val="006062BB"/>
    <w:rsid w:val="00606502"/>
    <w:rsid w:val="00606BF2"/>
    <w:rsid w:val="00610541"/>
    <w:rsid w:val="00610BCA"/>
    <w:rsid w:val="00611C64"/>
    <w:rsid w:val="006126E0"/>
    <w:rsid w:val="00612BE0"/>
    <w:rsid w:val="00613440"/>
    <w:rsid w:val="00613651"/>
    <w:rsid w:val="00613654"/>
    <w:rsid w:val="00614264"/>
    <w:rsid w:val="0061522F"/>
    <w:rsid w:val="00615633"/>
    <w:rsid w:val="006176A2"/>
    <w:rsid w:val="00617BFF"/>
    <w:rsid w:val="0062048D"/>
    <w:rsid w:val="006208F9"/>
    <w:rsid w:val="006240A1"/>
    <w:rsid w:val="00624F23"/>
    <w:rsid w:val="00630509"/>
    <w:rsid w:val="00632337"/>
    <w:rsid w:val="00632787"/>
    <w:rsid w:val="00633049"/>
    <w:rsid w:val="00633093"/>
    <w:rsid w:val="0063338D"/>
    <w:rsid w:val="006333BB"/>
    <w:rsid w:val="00640534"/>
    <w:rsid w:val="00643905"/>
    <w:rsid w:val="00643CBE"/>
    <w:rsid w:val="00650450"/>
    <w:rsid w:val="00650D8F"/>
    <w:rsid w:val="00650DF0"/>
    <w:rsid w:val="00651A80"/>
    <w:rsid w:val="00651F55"/>
    <w:rsid w:val="006523A9"/>
    <w:rsid w:val="00652559"/>
    <w:rsid w:val="00652849"/>
    <w:rsid w:val="00652B69"/>
    <w:rsid w:val="00652E3D"/>
    <w:rsid w:val="00654504"/>
    <w:rsid w:val="00654E02"/>
    <w:rsid w:val="00656DC9"/>
    <w:rsid w:val="006614D5"/>
    <w:rsid w:val="006620BE"/>
    <w:rsid w:val="00665D26"/>
    <w:rsid w:val="00666723"/>
    <w:rsid w:val="00666AFD"/>
    <w:rsid w:val="00672097"/>
    <w:rsid w:val="00672262"/>
    <w:rsid w:val="00675E47"/>
    <w:rsid w:val="00677AD6"/>
    <w:rsid w:val="00677DCC"/>
    <w:rsid w:val="00677EA3"/>
    <w:rsid w:val="00680085"/>
    <w:rsid w:val="006806A6"/>
    <w:rsid w:val="006808CB"/>
    <w:rsid w:val="00680D79"/>
    <w:rsid w:val="00681BA3"/>
    <w:rsid w:val="00683172"/>
    <w:rsid w:val="00684CA9"/>
    <w:rsid w:val="00684DE8"/>
    <w:rsid w:val="00690A09"/>
    <w:rsid w:val="00690BFF"/>
    <w:rsid w:val="006911BA"/>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366"/>
    <w:rsid w:val="006A66B9"/>
    <w:rsid w:val="006A6D72"/>
    <w:rsid w:val="006A6F69"/>
    <w:rsid w:val="006A7814"/>
    <w:rsid w:val="006B15FA"/>
    <w:rsid w:val="006B27C2"/>
    <w:rsid w:val="006B2C9F"/>
    <w:rsid w:val="006B4D26"/>
    <w:rsid w:val="006B4FA5"/>
    <w:rsid w:val="006B53FF"/>
    <w:rsid w:val="006C0AFC"/>
    <w:rsid w:val="006C1370"/>
    <w:rsid w:val="006C140F"/>
    <w:rsid w:val="006C1C2B"/>
    <w:rsid w:val="006C1FB7"/>
    <w:rsid w:val="006C34A7"/>
    <w:rsid w:val="006C58B2"/>
    <w:rsid w:val="006C6AE6"/>
    <w:rsid w:val="006C6BC1"/>
    <w:rsid w:val="006C7448"/>
    <w:rsid w:val="006D0A61"/>
    <w:rsid w:val="006D0EB7"/>
    <w:rsid w:val="006D1697"/>
    <w:rsid w:val="006D2697"/>
    <w:rsid w:val="006D4959"/>
    <w:rsid w:val="006D498F"/>
    <w:rsid w:val="006D4A0C"/>
    <w:rsid w:val="006D4D28"/>
    <w:rsid w:val="006D704D"/>
    <w:rsid w:val="006D747F"/>
    <w:rsid w:val="006E0606"/>
    <w:rsid w:val="006E2C95"/>
    <w:rsid w:val="006E4E63"/>
    <w:rsid w:val="006E712F"/>
    <w:rsid w:val="006F0A0B"/>
    <w:rsid w:val="006F0AA8"/>
    <w:rsid w:val="006F103D"/>
    <w:rsid w:val="006F1429"/>
    <w:rsid w:val="006F2B3D"/>
    <w:rsid w:val="006F3370"/>
    <w:rsid w:val="006F5237"/>
    <w:rsid w:val="006F553F"/>
    <w:rsid w:val="006F61E4"/>
    <w:rsid w:val="006F7390"/>
    <w:rsid w:val="006F791F"/>
    <w:rsid w:val="00700C77"/>
    <w:rsid w:val="0070105A"/>
    <w:rsid w:val="00701F73"/>
    <w:rsid w:val="0070312E"/>
    <w:rsid w:val="00703EE4"/>
    <w:rsid w:val="00704311"/>
    <w:rsid w:val="007051D4"/>
    <w:rsid w:val="00706183"/>
    <w:rsid w:val="00706846"/>
    <w:rsid w:val="00706E06"/>
    <w:rsid w:val="00707CC8"/>
    <w:rsid w:val="00711B9A"/>
    <w:rsid w:val="0071344F"/>
    <w:rsid w:val="007144AA"/>
    <w:rsid w:val="00714A0C"/>
    <w:rsid w:val="00714C2F"/>
    <w:rsid w:val="007153F8"/>
    <w:rsid w:val="0071780F"/>
    <w:rsid w:val="00720543"/>
    <w:rsid w:val="00722120"/>
    <w:rsid w:val="0072409B"/>
    <w:rsid w:val="00724664"/>
    <w:rsid w:val="007248E3"/>
    <w:rsid w:val="00725060"/>
    <w:rsid w:val="00725DFE"/>
    <w:rsid w:val="007262AD"/>
    <w:rsid w:val="00726931"/>
    <w:rsid w:val="00727505"/>
    <w:rsid w:val="00731EBF"/>
    <w:rsid w:val="007349D4"/>
    <w:rsid w:val="00736201"/>
    <w:rsid w:val="00736892"/>
    <w:rsid w:val="00736A8E"/>
    <w:rsid w:val="0073747C"/>
    <w:rsid w:val="00737DC3"/>
    <w:rsid w:val="00740D08"/>
    <w:rsid w:val="0074121F"/>
    <w:rsid w:val="00741581"/>
    <w:rsid w:val="007431F2"/>
    <w:rsid w:val="00744888"/>
    <w:rsid w:val="0074543E"/>
    <w:rsid w:val="00745814"/>
    <w:rsid w:val="0075223A"/>
    <w:rsid w:val="00752539"/>
    <w:rsid w:val="0075316E"/>
    <w:rsid w:val="007532AB"/>
    <w:rsid w:val="00753715"/>
    <w:rsid w:val="00753F7D"/>
    <w:rsid w:val="007552DE"/>
    <w:rsid w:val="0075605D"/>
    <w:rsid w:val="00756B6B"/>
    <w:rsid w:val="0075717E"/>
    <w:rsid w:val="007571AC"/>
    <w:rsid w:val="0076024A"/>
    <w:rsid w:val="00760FDA"/>
    <w:rsid w:val="007616F9"/>
    <w:rsid w:val="00761FCB"/>
    <w:rsid w:val="007639FD"/>
    <w:rsid w:val="00763FE7"/>
    <w:rsid w:val="007649CA"/>
    <w:rsid w:val="00765AC4"/>
    <w:rsid w:val="0076683F"/>
    <w:rsid w:val="00766952"/>
    <w:rsid w:val="00770617"/>
    <w:rsid w:val="00770704"/>
    <w:rsid w:val="00772254"/>
    <w:rsid w:val="0077298A"/>
    <w:rsid w:val="00773C8A"/>
    <w:rsid w:val="007747C1"/>
    <w:rsid w:val="0077637B"/>
    <w:rsid w:val="007764AA"/>
    <w:rsid w:val="0078080D"/>
    <w:rsid w:val="007811DA"/>
    <w:rsid w:val="0078214E"/>
    <w:rsid w:val="0078220B"/>
    <w:rsid w:val="007824CD"/>
    <w:rsid w:val="0078253F"/>
    <w:rsid w:val="007830CE"/>
    <w:rsid w:val="0078344B"/>
    <w:rsid w:val="00784898"/>
    <w:rsid w:val="007854EB"/>
    <w:rsid w:val="00785D38"/>
    <w:rsid w:val="00787647"/>
    <w:rsid w:val="00790A15"/>
    <w:rsid w:val="00790A84"/>
    <w:rsid w:val="007911C5"/>
    <w:rsid w:val="0079253F"/>
    <w:rsid w:val="00792B8B"/>
    <w:rsid w:val="00792E07"/>
    <w:rsid w:val="00793757"/>
    <w:rsid w:val="00794FC1"/>
    <w:rsid w:val="0079551B"/>
    <w:rsid w:val="007965C1"/>
    <w:rsid w:val="0079674A"/>
    <w:rsid w:val="00797DAA"/>
    <w:rsid w:val="007A0246"/>
    <w:rsid w:val="007A3582"/>
    <w:rsid w:val="007A57DB"/>
    <w:rsid w:val="007A61BA"/>
    <w:rsid w:val="007A64DF"/>
    <w:rsid w:val="007A6C25"/>
    <w:rsid w:val="007B1877"/>
    <w:rsid w:val="007B2098"/>
    <w:rsid w:val="007B2200"/>
    <w:rsid w:val="007B26AB"/>
    <w:rsid w:val="007B2A0C"/>
    <w:rsid w:val="007B2DA2"/>
    <w:rsid w:val="007B3796"/>
    <w:rsid w:val="007B3AEC"/>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F0C"/>
    <w:rsid w:val="007C5DE8"/>
    <w:rsid w:val="007C624E"/>
    <w:rsid w:val="007C6921"/>
    <w:rsid w:val="007C7E80"/>
    <w:rsid w:val="007C7FE8"/>
    <w:rsid w:val="007D0CBD"/>
    <w:rsid w:val="007D0E3C"/>
    <w:rsid w:val="007D1D83"/>
    <w:rsid w:val="007D2BD8"/>
    <w:rsid w:val="007D312C"/>
    <w:rsid w:val="007D343F"/>
    <w:rsid w:val="007D48D2"/>
    <w:rsid w:val="007D65C0"/>
    <w:rsid w:val="007D69DA"/>
    <w:rsid w:val="007D7046"/>
    <w:rsid w:val="007E1C85"/>
    <w:rsid w:val="007E37DA"/>
    <w:rsid w:val="007E3D37"/>
    <w:rsid w:val="007E3E7F"/>
    <w:rsid w:val="007E40D0"/>
    <w:rsid w:val="007E592A"/>
    <w:rsid w:val="007E6645"/>
    <w:rsid w:val="007E687B"/>
    <w:rsid w:val="007E71E9"/>
    <w:rsid w:val="007F00E3"/>
    <w:rsid w:val="007F1306"/>
    <w:rsid w:val="007F13E0"/>
    <w:rsid w:val="007F3BC5"/>
    <w:rsid w:val="007F4F89"/>
    <w:rsid w:val="007F52FB"/>
    <w:rsid w:val="007F5E40"/>
    <w:rsid w:val="007F73CB"/>
    <w:rsid w:val="00801D1D"/>
    <w:rsid w:val="008028A3"/>
    <w:rsid w:val="00802E30"/>
    <w:rsid w:val="008032B8"/>
    <w:rsid w:val="008046E1"/>
    <w:rsid w:val="00804CFC"/>
    <w:rsid w:val="00804D5B"/>
    <w:rsid w:val="0080522A"/>
    <w:rsid w:val="00805FBC"/>
    <w:rsid w:val="00806954"/>
    <w:rsid w:val="00806C7A"/>
    <w:rsid w:val="008109DF"/>
    <w:rsid w:val="008111F9"/>
    <w:rsid w:val="008141CF"/>
    <w:rsid w:val="0081682D"/>
    <w:rsid w:val="00816FEF"/>
    <w:rsid w:val="00817A04"/>
    <w:rsid w:val="0082000F"/>
    <w:rsid w:val="00823288"/>
    <w:rsid w:val="0082344B"/>
    <w:rsid w:val="00823ECF"/>
    <w:rsid w:val="008251DC"/>
    <w:rsid w:val="00825361"/>
    <w:rsid w:val="008264FA"/>
    <w:rsid w:val="0083105D"/>
    <w:rsid w:val="00831241"/>
    <w:rsid w:val="00831E70"/>
    <w:rsid w:val="008326D3"/>
    <w:rsid w:val="0083309A"/>
    <w:rsid w:val="00834D48"/>
    <w:rsid w:val="00835346"/>
    <w:rsid w:val="008410E6"/>
    <w:rsid w:val="0084143F"/>
    <w:rsid w:val="00841489"/>
    <w:rsid w:val="00841F20"/>
    <w:rsid w:val="00841F48"/>
    <w:rsid w:val="00842458"/>
    <w:rsid w:val="008429AA"/>
    <w:rsid w:val="008429CE"/>
    <w:rsid w:val="00843E9A"/>
    <w:rsid w:val="0084446F"/>
    <w:rsid w:val="00844668"/>
    <w:rsid w:val="008451C6"/>
    <w:rsid w:val="008451F2"/>
    <w:rsid w:val="00847003"/>
    <w:rsid w:val="00847C9B"/>
    <w:rsid w:val="00850974"/>
    <w:rsid w:val="00851DCB"/>
    <w:rsid w:val="00851E37"/>
    <w:rsid w:val="00852F00"/>
    <w:rsid w:val="00853DC7"/>
    <w:rsid w:val="00853E91"/>
    <w:rsid w:val="00854702"/>
    <w:rsid w:val="00856F73"/>
    <w:rsid w:val="008572BE"/>
    <w:rsid w:val="00857876"/>
    <w:rsid w:val="0086070D"/>
    <w:rsid w:val="00860B72"/>
    <w:rsid w:val="00861652"/>
    <w:rsid w:val="00861A7E"/>
    <w:rsid w:val="00862F4F"/>
    <w:rsid w:val="0086487B"/>
    <w:rsid w:val="00864903"/>
    <w:rsid w:val="00865767"/>
    <w:rsid w:val="008660DA"/>
    <w:rsid w:val="00867741"/>
    <w:rsid w:val="008705FA"/>
    <w:rsid w:val="00872BC3"/>
    <w:rsid w:val="00872C4B"/>
    <w:rsid w:val="008732E6"/>
    <w:rsid w:val="0087480A"/>
    <w:rsid w:val="00874E82"/>
    <w:rsid w:val="0087537C"/>
    <w:rsid w:val="0087568D"/>
    <w:rsid w:val="008758D1"/>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29DF"/>
    <w:rsid w:val="00893189"/>
    <w:rsid w:val="00894D08"/>
    <w:rsid w:val="00895BF8"/>
    <w:rsid w:val="00895EED"/>
    <w:rsid w:val="00896CE5"/>
    <w:rsid w:val="008974D5"/>
    <w:rsid w:val="00897DD7"/>
    <w:rsid w:val="008A0AEF"/>
    <w:rsid w:val="008A1165"/>
    <w:rsid w:val="008A278C"/>
    <w:rsid w:val="008A2A5C"/>
    <w:rsid w:val="008A2A8E"/>
    <w:rsid w:val="008A30C3"/>
    <w:rsid w:val="008A3641"/>
    <w:rsid w:val="008A3B4B"/>
    <w:rsid w:val="008A49AF"/>
    <w:rsid w:val="008A63E7"/>
    <w:rsid w:val="008A65F1"/>
    <w:rsid w:val="008A7033"/>
    <w:rsid w:val="008B008A"/>
    <w:rsid w:val="008B463A"/>
    <w:rsid w:val="008B58AE"/>
    <w:rsid w:val="008B5AC8"/>
    <w:rsid w:val="008B5C7E"/>
    <w:rsid w:val="008B5F2F"/>
    <w:rsid w:val="008B657B"/>
    <w:rsid w:val="008B6BA6"/>
    <w:rsid w:val="008B6D8A"/>
    <w:rsid w:val="008B71C9"/>
    <w:rsid w:val="008C08F9"/>
    <w:rsid w:val="008C101A"/>
    <w:rsid w:val="008C2BC5"/>
    <w:rsid w:val="008C2CC3"/>
    <w:rsid w:val="008C4FBA"/>
    <w:rsid w:val="008C73FB"/>
    <w:rsid w:val="008C7452"/>
    <w:rsid w:val="008C7502"/>
    <w:rsid w:val="008D2EBA"/>
    <w:rsid w:val="008D3137"/>
    <w:rsid w:val="008D56EF"/>
    <w:rsid w:val="008D5819"/>
    <w:rsid w:val="008D5B32"/>
    <w:rsid w:val="008E0243"/>
    <w:rsid w:val="008E1A5F"/>
    <w:rsid w:val="008E1BDB"/>
    <w:rsid w:val="008E3499"/>
    <w:rsid w:val="008E4F4F"/>
    <w:rsid w:val="008E508E"/>
    <w:rsid w:val="008E55F8"/>
    <w:rsid w:val="008E5E14"/>
    <w:rsid w:val="008F3EE3"/>
    <w:rsid w:val="008F429B"/>
    <w:rsid w:val="008F542A"/>
    <w:rsid w:val="008F6324"/>
    <w:rsid w:val="008F7C2D"/>
    <w:rsid w:val="00900207"/>
    <w:rsid w:val="00900581"/>
    <w:rsid w:val="00900D85"/>
    <w:rsid w:val="00901114"/>
    <w:rsid w:val="00904668"/>
    <w:rsid w:val="0090488D"/>
    <w:rsid w:val="00906BFB"/>
    <w:rsid w:val="00906EB9"/>
    <w:rsid w:val="00907E64"/>
    <w:rsid w:val="00907FF0"/>
    <w:rsid w:val="00910043"/>
    <w:rsid w:val="0091021E"/>
    <w:rsid w:val="00910617"/>
    <w:rsid w:val="00910C9C"/>
    <w:rsid w:val="00913AE0"/>
    <w:rsid w:val="00913B45"/>
    <w:rsid w:val="00914A16"/>
    <w:rsid w:val="009157F0"/>
    <w:rsid w:val="0091768C"/>
    <w:rsid w:val="0092205D"/>
    <w:rsid w:val="00922B3E"/>
    <w:rsid w:val="0092320C"/>
    <w:rsid w:val="00923875"/>
    <w:rsid w:val="00923FA9"/>
    <w:rsid w:val="009241EA"/>
    <w:rsid w:val="009245F4"/>
    <w:rsid w:val="00927109"/>
    <w:rsid w:val="00927DBF"/>
    <w:rsid w:val="00931059"/>
    <w:rsid w:val="00931BA8"/>
    <w:rsid w:val="00931E43"/>
    <w:rsid w:val="00932FAE"/>
    <w:rsid w:val="0093348D"/>
    <w:rsid w:val="009356FC"/>
    <w:rsid w:val="00936C0C"/>
    <w:rsid w:val="00940171"/>
    <w:rsid w:val="0094288A"/>
    <w:rsid w:val="00942C6A"/>
    <w:rsid w:val="00943364"/>
    <w:rsid w:val="009435B0"/>
    <w:rsid w:val="0094402E"/>
    <w:rsid w:val="009459E1"/>
    <w:rsid w:val="009509CC"/>
    <w:rsid w:val="0095116D"/>
    <w:rsid w:val="00951A41"/>
    <w:rsid w:val="009537C5"/>
    <w:rsid w:val="009543BE"/>
    <w:rsid w:val="00957AFD"/>
    <w:rsid w:val="00962AAC"/>
    <w:rsid w:val="00964CDA"/>
    <w:rsid w:val="00964DF6"/>
    <w:rsid w:val="00965784"/>
    <w:rsid w:val="00965FF4"/>
    <w:rsid w:val="0096724D"/>
    <w:rsid w:val="00967976"/>
    <w:rsid w:val="0097040B"/>
    <w:rsid w:val="00970D97"/>
    <w:rsid w:val="0097171C"/>
    <w:rsid w:val="00973B78"/>
    <w:rsid w:val="009747D9"/>
    <w:rsid w:val="00974EBD"/>
    <w:rsid w:val="0097529D"/>
    <w:rsid w:val="009752B6"/>
    <w:rsid w:val="00975967"/>
    <w:rsid w:val="009760FE"/>
    <w:rsid w:val="00976B1B"/>
    <w:rsid w:val="0097749B"/>
    <w:rsid w:val="0098084B"/>
    <w:rsid w:val="00982419"/>
    <w:rsid w:val="00982B57"/>
    <w:rsid w:val="00983437"/>
    <w:rsid w:val="00984B70"/>
    <w:rsid w:val="00984C96"/>
    <w:rsid w:val="00984D9F"/>
    <w:rsid w:val="00985631"/>
    <w:rsid w:val="00985897"/>
    <w:rsid w:val="00986CCA"/>
    <w:rsid w:val="00987B3C"/>
    <w:rsid w:val="0099256A"/>
    <w:rsid w:val="009931B2"/>
    <w:rsid w:val="0099328C"/>
    <w:rsid w:val="00993C9C"/>
    <w:rsid w:val="00996073"/>
    <w:rsid w:val="0099794C"/>
    <w:rsid w:val="009A193E"/>
    <w:rsid w:val="009A1A0D"/>
    <w:rsid w:val="009A1C15"/>
    <w:rsid w:val="009A2CA6"/>
    <w:rsid w:val="009A446A"/>
    <w:rsid w:val="009A46E0"/>
    <w:rsid w:val="009A56A1"/>
    <w:rsid w:val="009B309A"/>
    <w:rsid w:val="009B4F44"/>
    <w:rsid w:val="009B5010"/>
    <w:rsid w:val="009B513B"/>
    <w:rsid w:val="009B5E55"/>
    <w:rsid w:val="009B5F27"/>
    <w:rsid w:val="009C06B3"/>
    <w:rsid w:val="009C0856"/>
    <w:rsid w:val="009C1D70"/>
    <w:rsid w:val="009C23B3"/>
    <w:rsid w:val="009C3318"/>
    <w:rsid w:val="009C46D9"/>
    <w:rsid w:val="009C7BFA"/>
    <w:rsid w:val="009D0880"/>
    <w:rsid w:val="009D254E"/>
    <w:rsid w:val="009D2DA8"/>
    <w:rsid w:val="009D333B"/>
    <w:rsid w:val="009D4FAD"/>
    <w:rsid w:val="009D5069"/>
    <w:rsid w:val="009D6852"/>
    <w:rsid w:val="009D7610"/>
    <w:rsid w:val="009E0972"/>
    <w:rsid w:val="009E2470"/>
    <w:rsid w:val="009E279A"/>
    <w:rsid w:val="009E28C4"/>
    <w:rsid w:val="009E2BBA"/>
    <w:rsid w:val="009E3349"/>
    <w:rsid w:val="009E480A"/>
    <w:rsid w:val="009E578D"/>
    <w:rsid w:val="009E5833"/>
    <w:rsid w:val="009E59D6"/>
    <w:rsid w:val="009E5FE4"/>
    <w:rsid w:val="009E6C51"/>
    <w:rsid w:val="009E748F"/>
    <w:rsid w:val="009F1587"/>
    <w:rsid w:val="009F1E44"/>
    <w:rsid w:val="009F37BD"/>
    <w:rsid w:val="009F48AE"/>
    <w:rsid w:val="009F6117"/>
    <w:rsid w:val="00A00C61"/>
    <w:rsid w:val="00A025CD"/>
    <w:rsid w:val="00A02D4B"/>
    <w:rsid w:val="00A02D6F"/>
    <w:rsid w:val="00A02F9E"/>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6B2"/>
    <w:rsid w:val="00A20A35"/>
    <w:rsid w:val="00A226C0"/>
    <w:rsid w:val="00A22DC9"/>
    <w:rsid w:val="00A23594"/>
    <w:rsid w:val="00A250D5"/>
    <w:rsid w:val="00A26017"/>
    <w:rsid w:val="00A26353"/>
    <w:rsid w:val="00A269F6"/>
    <w:rsid w:val="00A27079"/>
    <w:rsid w:val="00A3039F"/>
    <w:rsid w:val="00A30A16"/>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4D2A"/>
    <w:rsid w:val="00A44FE8"/>
    <w:rsid w:val="00A464B5"/>
    <w:rsid w:val="00A46D6A"/>
    <w:rsid w:val="00A470D4"/>
    <w:rsid w:val="00A50334"/>
    <w:rsid w:val="00A51393"/>
    <w:rsid w:val="00A52A05"/>
    <w:rsid w:val="00A52DFB"/>
    <w:rsid w:val="00A53DF8"/>
    <w:rsid w:val="00A55E2D"/>
    <w:rsid w:val="00A56FBF"/>
    <w:rsid w:val="00A578EB"/>
    <w:rsid w:val="00A57B64"/>
    <w:rsid w:val="00A57DC2"/>
    <w:rsid w:val="00A57FDB"/>
    <w:rsid w:val="00A6010F"/>
    <w:rsid w:val="00A60FAA"/>
    <w:rsid w:val="00A640CA"/>
    <w:rsid w:val="00A646E0"/>
    <w:rsid w:val="00A67437"/>
    <w:rsid w:val="00A709C3"/>
    <w:rsid w:val="00A7142E"/>
    <w:rsid w:val="00A71531"/>
    <w:rsid w:val="00A71B72"/>
    <w:rsid w:val="00A73FEC"/>
    <w:rsid w:val="00A740BA"/>
    <w:rsid w:val="00A75BF9"/>
    <w:rsid w:val="00A7641E"/>
    <w:rsid w:val="00A766A7"/>
    <w:rsid w:val="00A76A4E"/>
    <w:rsid w:val="00A76BBC"/>
    <w:rsid w:val="00A76CF6"/>
    <w:rsid w:val="00A82979"/>
    <w:rsid w:val="00A83E54"/>
    <w:rsid w:val="00A85124"/>
    <w:rsid w:val="00A85477"/>
    <w:rsid w:val="00A85D7A"/>
    <w:rsid w:val="00A87B20"/>
    <w:rsid w:val="00A90F7F"/>
    <w:rsid w:val="00A928F0"/>
    <w:rsid w:val="00A92DFD"/>
    <w:rsid w:val="00A93AAA"/>
    <w:rsid w:val="00A94CA4"/>
    <w:rsid w:val="00A95007"/>
    <w:rsid w:val="00A956F8"/>
    <w:rsid w:val="00A95E63"/>
    <w:rsid w:val="00A976EB"/>
    <w:rsid w:val="00AA331F"/>
    <w:rsid w:val="00AA4C42"/>
    <w:rsid w:val="00AA4CAA"/>
    <w:rsid w:val="00AA60D1"/>
    <w:rsid w:val="00AA6677"/>
    <w:rsid w:val="00AA7E90"/>
    <w:rsid w:val="00AB0405"/>
    <w:rsid w:val="00AB0515"/>
    <w:rsid w:val="00AB0FEE"/>
    <w:rsid w:val="00AB274F"/>
    <w:rsid w:val="00AB40ED"/>
    <w:rsid w:val="00AB54CC"/>
    <w:rsid w:val="00AC673A"/>
    <w:rsid w:val="00AC6800"/>
    <w:rsid w:val="00AC6CAA"/>
    <w:rsid w:val="00AD05F4"/>
    <w:rsid w:val="00AD14CA"/>
    <w:rsid w:val="00AD1F01"/>
    <w:rsid w:val="00AD352E"/>
    <w:rsid w:val="00AD3918"/>
    <w:rsid w:val="00AD50F1"/>
    <w:rsid w:val="00AD5C92"/>
    <w:rsid w:val="00AD6DE8"/>
    <w:rsid w:val="00AD7502"/>
    <w:rsid w:val="00AE0C98"/>
    <w:rsid w:val="00AE1591"/>
    <w:rsid w:val="00AE20D4"/>
    <w:rsid w:val="00AE3819"/>
    <w:rsid w:val="00AE3EF1"/>
    <w:rsid w:val="00AE4BA4"/>
    <w:rsid w:val="00AE652A"/>
    <w:rsid w:val="00AF01FA"/>
    <w:rsid w:val="00AF4B81"/>
    <w:rsid w:val="00AF4ED9"/>
    <w:rsid w:val="00AF554C"/>
    <w:rsid w:val="00AF58F4"/>
    <w:rsid w:val="00AF6859"/>
    <w:rsid w:val="00AF72AF"/>
    <w:rsid w:val="00AF7C9B"/>
    <w:rsid w:val="00B00AF8"/>
    <w:rsid w:val="00B0123D"/>
    <w:rsid w:val="00B01F61"/>
    <w:rsid w:val="00B02C5E"/>
    <w:rsid w:val="00B03CEE"/>
    <w:rsid w:val="00B043A4"/>
    <w:rsid w:val="00B07C72"/>
    <w:rsid w:val="00B100F6"/>
    <w:rsid w:val="00B105A1"/>
    <w:rsid w:val="00B11521"/>
    <w:rsid w:val="00B12274"/>
    <w:rsid w:val="00B1243C"/>
    <w:rsid w:val="00B147C0"/>
    <w:rsid w:val="00B20150"/>
    <w:rsid w:val="00B2102A"/>
    <w:rsid w:val="00B21A1F"/>
    <w:rsid w:val="00B21B02"/>
    <w:rsid w:val="00B2326C"/>
    <w:rsid w:val="00B23568"/>
    <w:rsid w:val="00B23F9D"/>
    <w:rsid w:val="00B24117"/>
    <w:rsid w:val="00B241A0"/>
    <w:rsid w:val="00B243F6"/>
    <w:rsid w:val="00B26BED"/>
    <w:rsid w:val="00B276B7"/>
    <w:rsid w:val="00B278FE"/>
    <w:rsid w:val="00B27C70"/>
    <w:rsid w:val="00B30F16"/>
    <w:rsid w:val="00B31CF6"/>
    <w:rsid w:val="00B3341E"/>
    <w:rsid w:val="00B34F11"/>
    <w:rsid w:val="00B368C1"/>
    <w:rsid w:val="00B40889"/>
    <w:rsid w:val="00B41028"/>
    <w:rsid w:val="00B417B5"/>
    <w:rsid w:val="00B427E0"/>
    <w:rsid w:val="00B440E2"/>
    <w:rsid w:val="00B44539"/>
    <w:rsid w:val="00B46E60"/>
    <w:rsid w:val="00B47E66"/>
    <w:rsid w:val="00B52199"/>
    <w:rsid w:val="00B52818"/>
    <w:rsid w:val="00B55A26"/>
    <w:rsid w:val="00B55F55"/>
    <w:rsid w:val="00B56C1C"/>
    <w:rsid w:val="00B56C34"/>
    <w:rsid w:val="00B6306A"/>
    <w:rsid w:val="00B6308D"/>
    <w:rsid w:val="00B631D9"/>
    <w:rsid w:val="00B639AD"/>
    <w:rsid w:val="00B6511C"/>
    <w:rsid w:val="00B65C6E"/>
    <w:rsid w:val="00B670EE"/>
    <w:rsid w:val="00B671B7"/>
    <w:rsid w:val="00B67585"/>
    <w:rsid w:val="00B676C9"/>
    <w:rsid w:val="00B704BB"/>
    <w:rsid w:val="00B72BDD"/>
    <w:rsid w:val="00B74AB8"/>
    <w:rsid w:val="00B74D15"/>
    <w:rsid w:val="00B75094"/>
    <w:rsid w:val="00B75BDC"/>
    <w:rsid w:val="00B75D6C"/>
    <w:rsid w:val="00B75E65"/>
    <w:rsid w:val="00B7730F"/>
    <w:rsid w:val="00B7731A"/>
    <w:rsid w:val="00B77547"/>
    <w:rsid w:val="00B77C2E"/>
    <w:rsid w:val="00B81BD8"/>
    <w:rsid w:val="00B8209D"/>
    <w:rsid w:val="00B829DE"/>
    <w:rsid w:val="00B82B64"/>
    <w:rsid w:val="00B84D37"/>
    <w:rsid w:val="00B855D2"/>
    <w:rsid w:val="00B93B95"/>
    <w:rsid w:val="00B947E4"/>
    <w:rsid w:val="00B95AE3"/>
    <w:rsid w:val="00B96029"/>
    <w:rsid w:val="00B97CD0"/>
    <w:rsid w:val="00BA078D"/>
    <w:rsid w:val="00BA2203"/>
    <w:rsid w:val="00BA2ABE"/>
    <w:rsid w:val="00BA4316"/>
    <w:rsid w:val="00BA4785"/>
    <w:rsid w:val="00BA484B"/>
    <w:rsid w:val="00BA6081"/>
    <w:rsid w:val="00BA78F2"/>
    <w:rsid w:val="00BB14F8"/>
    <w:rsid w:val="00BB1999"/>
    <w:rsid w:val="00BB201D"/>
    <w:rsid w:val="00BB24E7"/>
    <w:rsid w:val="00BB289F"/>
    <w:rsid w:val="00BB48E7"/>
    <w:rsid w:val="00BB70AA"/>
    <w:rsid w:val="00BB73F6"/>
    <w:rsid w:val="00BB7465"/>
    <w:rsid w:val="00BB7B96"/>
    <w:rsid w:val="00BC23A1"/>
    <w:rsid w:val="00BC3236"/>
    <w:rsid w:val="00BC4906"/>
    <w:rsid w:val="00BC59B1"/>
    <w:rsid w:val="00BC6192"/>
    <w:rsid w:val="00BC6D2E"/>
    <w:rsid w:val="00BD0029"/>
    <w:rsid w:val="00BD0FC3"/>
    <w:rsid w:val="00BD15C1"/>
    <w:rsid w:val="00BD25AF"/>
    <w:rsid w:val="00BD3D87"/>
    <w:rsid w:val="00BD561F"/>
    <w:rsid w:val="00BD5A85"/>
    <w:rsid w:val="00BD7193"/>
    <w:rsid w:val="00BE0BA1"/>
    <w:rsid w:val="00BE115A"/>
    <w:rsid w:val="00BE1714"/>
    <w:rsid w:val="00BE324C"/>
    <w:rsid w:val="00BE3881"/>
    <w:rsid w:val="00BE41CB"/>
    <w:rsid w:val="00BE455E"/>
    <w:rsid w:val="00BE4682"/>
    <w:rsid w:val="00BE53B2"/>
    <w:rsid w:val="00BE5413"/>
    <w:rsid w:val="00BE573B"/>
    <w:rsid w:val="00BE5FEA"/>
    <w:rsid w:val="00BE6B90"/>
    <w:rsid w:val="00BF33E1"/>
    <w:rsid w:val="00BF371E"/>
    <w:rsid w:val="00BF4034"/>
    <w:rsid w:val="00BF44CC"/>
    <w:rsid w:val="00C00E7C"/>
    <w:rsid w:val="00C00F61"/>
    <w:rsid w:val="00C01581"/>
    <w:rsid w:val="00C01834"/>
    <w:rsid w:val="00C03316"/>
    <w:rsid w:val="00C03BB6"/>
    <w:rsid w:val="00C04452"/>
    <w:rsid w:val="00C04644"/>
    <w:rsid w:val="00C05C73"/>
    <w:rsid w:val="00C07EC6"/>
    <w:rsid w:val="00C07F72"/>
    <w:rsid w:val="00C11214"/>
    <w:rsid w:val="00C11466"/>
    <w:rsid w:val="00C1211C"/>
    <w:rsid w:val="00C12953"/>
    <w:rsid w:val="00C13634"/>
    <w:rsid w:val="00C14173"/>
    <w:rsid w:val="00C16E72"/>
    <w:rsid w:val="00C17250"/>
    <w:rsid w:val="00C20047"/>
    <w:rsid w:val="00C203BE"/>
    <w:rsid w:val="00C20A39"/>
    <w:rsid w:val="00C24B13"/>
    <w:rsid w:val="00C25DCD"/>
    <w:rsid w:val="00C261D0"/>
    <w:rsid w:val="00C26C19"/>
    <w:rsid w:val="00C27721"/>
    <w:rsid w:val="00C2781A"/>
    <w:rsid w:val="00C27834"/>
    <w:rsid w:val="00C27AF6"/>
    <w:rsid w:val="00C31DC1"/>
    <w:rsid w:val="00C32833"/>
    <w:rsid w:val="00C32C8F"/>
    <w:rsid w:val="00C33B95"/>
    <w:rsid w:val="00C33BE8"/>
    <w:rsid w:val="00C352DA"/>
    <w:rsid w:val="00C3563D"/>
    <w:rsid w:val="00C35760"/>
    <w:rsid w:val="00C357C4"/>
    <w:rsid w:val="00C36DC2"/>
    <w:rsid w:val="00C375C9"/>
    <w:rsid w:val="00C3779D"/>
    <w:rsid w:val="00C37A31"/>
    <w:rsid w:val="00C42EA4"/>
    <w:rsid w:val="00C43D45"/>
    <w:rsid w:val="00C45BBA"/>
    <w:rsid w:val="00C4633E"/>
    <w:rsid w:val="00C476D3"/>
    <w:rsid w:val="00C477F2"/>
    <w:rsid w:val="00C478BB"/>
    <w:rsid w:val="00C47A3B"/>
    <w:rsid w:val="00C501F4"/>
    <w:rsid w:val="00C50EBF"/>
    <w:rsid w:val="00C51451"/>
    <w:rsid w:val="00C516D4"/>
    <w:rsid w:val="00C517D1"/>
    <w:rsid w:val="00C5255D"/>
    <w:rsid w:val="00C53DE5"/>
    <w:rsid w:val="00C56AAB"/>
    <w:rsid w:val="00C56B93"/>
    <w:rsid w:val="00C6009C"/>
    <w:rsid w:val="00C60124"/>
    <w:rsid w:val="00C6062B"/>
    <w:rsid w:val="00C61B04"/>
    <w:rsid w:val="00C624C7"/>
    <w:rsid w:val="00C64B24"/>
    <w:rsid w:val="00C650BA"/>
    <w:rsid w:val="00C65EAD"/>
    <w:rsid w:val="00C67E04"/>
    <w:rsid w:val="00C72618"/>
    <w:rsid w:val="00C73ADC"/>
    <w:rsid w:val="00C7507E"/>
    <w:rsid w:val="00C76B23"/>
    <w:rsid w:val="00C77960"/>
    <w:rsid w:val="00C8002A"/>
    <w:rsid w:val="00C800E8"/>
    <w:rsid w:val="00C80573"/>
    <w:rsid w:val="00C80FA1"/>
    <w:rsid w:val="00C81831"/>
    <w:rsid w:val="00C83712"/>
    <w:rsid w:val="00C8382F"/>
    <w:rsid w:val="00C84A0E"/>
    <w:rsid w:val="00C84C21"/>
    <w:rsid w:val="00C86385"/>
    <w:rsid w:val="00C87C23"/>
    <w:rsid w:val="00C91F3A"/>
    <w:rsid w:val="00C92553"/>
    <w:rsid w:val="00C9264C"/>
    <w:rsid w:val="00C93171"/>
    <w:rsid w:val="00C93829"/>
    <w:rsid w:val="00C94AE9"/>
    <w:rsid w:val="00C9648B"/>
    <w:rsid w:val="00C97966"/>
    <w:rsid w:val="00CA00E0"/>
    <w:rsid w:val="00CA03F9"/>
    <w:rsid w:val="00CA4457"/>
    <w:rsid w:val="00CA5003"/>
    <w:rsid w:val="00CA69E1"/>
    <w:rsid w:val="00CB03B4"/>
    <w:rsid w:val="00CB1B4F"/>
    <w:rsid w:val="00CB2056"/>
    <w:rsid w:val="00CB286E"/>
    <w:rsid w:val="00CB371D"/>
    <w:rsid w:val="00CB4704"/>
    <w:rsid w:val="00CB5001"/>
    <w:rsid w:val="00CB782C"/>
    <w:rsid w:val="00CC08DE"/>
    <w:rsid w:val="00CC0CD9"/>
    <w:rsid w:val="00CC22B3"/>
    <w:rsid w:val="00CC3868"/>
    <w:rsid w:val="00CC58E6"/>
    <w:rsid w:val="00CC6227"/>
    <w:rsid w:val="00CC624B"/>
    <w:rsid w:val="00CC664A"/>
    <w:rsid w:val="00CC6B84"/>
    <w:rsid w:val="00CC78E5"/>
    <w:rsid w:val="00CD1C15"/>
    <w:rsid w:val="00CD29FA"/>
    <w:rsid w:val="00CD4047"/>
    <w:rsid w:val="00CD4A09"/>
    <w:rsid w:val="00CD4FF5"/>
    <w:rsid w:val="00CD5962"/>
    <w:rsid w:val="00CD6D68"/>
    <w:rsid w:val="00CD7422"/>
    <w:rsid w:val="00CD7D72"/>
    <w:rsid w:val="00CD7DF7"/>
    <w:rsid w:val="00CE13C2"/>
    <w:rsid w:val="00CE28DB"/>
    <w:rsid w:val="00CE42A4"/>
    <w:rsid w:val="00CE6990"/>
    <w:rsid w:val="00CE7263"/>
    <w:rsid w:val="00CE72CF"/>
    <w:rsid w:val="00CE79A1"/>
    <w:rsid w:val="00CE79B1"/>
    <w:rsid w:val="00CE7CE0"/>
    <w:rsid w:val="00CF1FDA"/>
    <w:rsid w:val="00CF2A29"/>
    <w:rsid w:val="00CF381A"/>
    <w:rsid w:val="00CF4444"/>
    <w:rsid w:val="00CF4497"/>
    <w:rsid w:val="00CF4625"/>
    <w:rsid w:val="00CF5D14"/>
    <w:rsid w:val="00CF7A07"/>
    <w:rsid w:val="00D00095"/>
    <w:rsid w:val="00D00C17"/>
    <w:rsid w:val="00D00F78"/>
    <w:rsid w:val="00D01061"/>
    <w:rsid w:val="00D01B29"/>
    <w:rsid w:val="00D0265F"/>
    <w:rsid w:val="00D032E4"/>
    <w:rsid w:val="00D034CC"/>
    <w:rsid w:val="00D058C8"/>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2EE"/>
    <w:rsid w:val="00D22430"/>
    <w:rsid w:val="00D240C8"/>
    <w:rsid w:val="00D25977"/>
    <w:rsid w:val="00D2600E"/>
    <w:rsid w:val="00D3037A"/>
    <w:rsid w:val="00D40040"/>
    <w:rsid w:val="00D44F86"/>
    <w:rsid w:val="00D455DC"/>
    <w:rsid w:val="00D4641A"/>
    <w:rsid w:val="00D47524"/>
    <w:rsid w:val="00D47AE7"/>
    <w:rsid w:val="00D55B71"/>
    <w:rsid w:val="00D56072"/>
    <w:rsid w:val="00D56E20"/>
    <w:rsid w:val="00D57587"/>
    <w:rsid w:val="00D5761A"/>
    <w:rsid w:val="00D609C9"/>
    <w:rsid w:val="00D60A84"/>
    <w:rsid w:val="00D627E7"/>
    <w:rsid w:val="00D62A7A"/>
    <w:rsid w:val="00D62D99"/>
    <w:rsid w:val="00D6440F"/>
    <w:rsid w:val="00D66042"/>
    <w:rsid w:val="00D672E2"/>
    <w:rsid w:val="00D67E85"/>
    <w:rsid w:val="00D71100"/>
    <w:rsid w:val="00D72123"/>
    <w:rsid w:val="00D72C51"/>
    <w:rsid w:val="00D73A15"/>
    <w:rsid w:val="00D742CE"/>
    <w:rsid w:val="00D74ABC"/>
    <w:rsid w:val="00D76C28"/>
    <w:rsid w:val="00D76FE9"/>
    <w:rsid w:val="00D77EFB"/>
    <w:rsid w:val="00D813B1"/>
    <w:rsid w:val="00D8176C"/>
    <w:rsid w:val="00D8266D"/>
    <w:rsid w:val="00D82784"/>
    <w:rsid w:val="00D83A9D"/>
    <w:rsid w:val="00D83C6E"/>
    <w:rsid w:val="00D84B29"/>
    <w:rsid w:val="00D85413"/>
    <w:rsid w:val="00D855E8"/>
    <w:rsid w:val="00D859FE"/>
    <w:rsid w:val="00D924CA"/>
    <w:rsid w:val="00D958EE"/>
    <w:rsid w:val="00D965FD"/>
    <w:rsid w:val="00D9687A"/>
    <w:rsid w:val="00D96911"/>
    <w:rsid w:val="00DA0FDA"/>
    <w:rsid w:val="00DA153F"/>
    <w:rsid w:val="00DA30A6"/>
    <w:rsid w:val="00DA3133"/>
    <w:rsid w:val="00DA3CA6"/>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0818"/>
    <w:rsid w:val="00DC1572"/>
    <w:rsid w:val="00DC229D"/>
    <w:rsid w:val="00DC3A59"/>
    <w:rsid w:val="00DC5308"/>
    <w:rsid w:val="00DC5C29"/>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4D94"/>
    <w:rsid w:val="00DF5740"/>
    <w:rsid w:val="00DF61C6"/>
    <w:rsid w:val="00DF74FF"/>
    <w:rsid w:val="00E02F6E"/>
    <w:rsid w:val="00E04330"/>
    <w:rsid w:val="00E04B95"/>
    <w:rsid w:val="00E06C16"/>
    <w:rsid w:val="00E07188"/>
    <w:rsid w:val="00E073FF"/>
    <w:rsid w:val="00E076C8"/>
    <w:rsid w:val="00E1072B"/>
    <w:rsid w:val="00E10FB8"/>
    <w:rsid w:val="00E12628"/>
    <w:rsid w:val="00E1305F"/>
    <w:rsid w:val="00E13BBB"/>
    <w:rsid w:val="00E144D3"/>
    <w:rsid w:val="00E14DCF"/>
    <w:rsid w:val="00E1745F"/>
    <w:rsid w:val="00E306CD"/>
    <w:rsid w:val="00E30822"/>
    <w:rsid w:val="00E34EEB"/>
    <w:rsid w:val="00E35194"/>
    <w:rsid w:val="00E36E36"/>
    <w:rsid w:val="00E37C95"/>
    <w:rsid w:val="00E40C90"/>
    <w:rsid w:val="00E40F2F"/>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2B3"/>
    <w:rsid w:val="00E63464"/>
    <w:rsid w:val="00E63A4A"/>
    <w:rsid w:val="00E65976"/>
    <w:rsid w:val="00E6599A"/>
    <w:rsid w:val="00E659BC"/>
    <w:rsid w:val="00E65B25"/>
    <w:rsid w:val="00E660DF"/>
    <w:rsid w:val="00E66245"/>
    <w:rsid w:val="00E6663A"/>
    <w:rsid w:val="00E66695"/>
    <w:rsid w:val="00E67C2A"/>
    <w:rsid w:val="00E700F9"/>
    <w:rsid w:val="00E71BE0"/>
    <w:rsid w:val="00E75F06"/>
    <w:rsid w:val="00E76237"/>
    <w:rsid w:val="00E8036E"/>
    <w:rsid w:val="00E81C09"/>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718"/>
    <w:rsid w:val="00EB0A71"/>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34C7"/>
    <w:rsid w:val="00ED45F8"/>
    <w:rsid w:val="00ED49DD"/>
    <w:rsid w:val="00ED5A35"/>
    <w:rsid w:val="00ED7594"/>
    <w:rsid w:val="00ED79AD"/>
    <w:rsid w:val="00EE31D3"/>
    <w:rsid w:val="00EE3284"/>
    <w:rsid w:val="00EE366C"/>
    <w:rsid w:val="00EE4E7A"/>
    <w:rsid w:val="00EE4F8E"/>
    <w:rsid w:val="00EE4F97"/>
    <w:rsid w:val="00EE5E03"/>
    <w:rsid w:val="00EE69AB"/>
    <w:rsid w:val="00EE7C24"/>
    <w:rsid w:val="00EF1035"/>
    <w:rsid w:val="00EF15E3"/>
    <w:rsid w:val="00EF1CB7"/>
    <w:rsid w:val="00EF20A6"/>
    <w:rsid w:val="00EF655E"/>
    <w:rsid w:val="00EF7157"/>
    <w:rsid w:val="00F00FF4"/>
    <w:rsid w:val="00F0178C"/>
    <w:rsid w:val="00F03E25"/>
    <w:rsid w:val="00F050FE"/>
    <w:rsid w:val="00F058EA"/>
    <w:rsid w:val="00F05CC1"/>
    <w:rsid w:val="00F06C9C"/>
    <w:rsid w:val="00F0737C"/>
    <w:rsid w:val="00F110CA"/>
    <w:rsid w:val="00F11F12"/>
    <w:rsid w:val="00F13FD8"/>
    <w:rsid w:val="00F140B9"/>
    <w:rsid w:val="00F146B1"/>
    <w:rsid w:val="00F14EA5"/>
    <w:rsid w:val="00F15A84"/>
    <w:rsid w:val="00F15E0C"/>
    <w:rsid w:val="00F229E6"/>
    <w:rsid w:val="00F237CF"/>
    <w:rsid w:val="00F23B98"/>
    <w:rsid w:val="00F249C3"/>
    <w:rsid w:val="00F24C66"/>
    <w:rsid w:val="00F2665E"/>
    <w:rsid w:val="00F272A3"/>
    <w:rsid w:val="00F325FD"/>
    <w:rsid w:val="00F32A8A"/>
    <w:rsid w:val="00F33212"/>
    <w:rsid w:val="00F34986"/>
    <w:rsid w:val="00F35531"/>
    <w:rsid w:val="00F366D1"/>
    <w:rsid w:val="00F4035C"/>
    <w:rsid w:val="00F40C88"/>
    <w:rsid w:val="00F40E92"/>
    <w:rsid w:val="00F4183E"/>
    <w:rsid w:val="00F43CDA"/>
    <w:rsid w:val="00F43D06"/>
    <w:rsid w:val="00F43E88"/>
    <w:rsid w:val="00F445B8"/>
    <w:rsid w:val="00F447F8"/>
    <w:rsid w:val="00F47D59"/>
    <w:rsid w:val="00F504DA"/>
    <w:rsid w:val="00F50853"/>
    <w:rsid w:val="00F5254C"/>
    <w:rsid w:val="00F5478E"/>
    <w:rsid w:val="00F561EC"/>
    <w:rsid w:val="00F57BFA"/>
    <w:rsid w:val="00F60BC2"/>
    <w:rsid w:val="00F60C9F"/>
    <w:rsid w:val="00F60EC6"/>
    <w:rsid w:val="00F61644"/>
    <w:rsid w:val="00F617F3"/>
    <w:rsid w:val="00F61A16"/>
    <w:rsid w:val="00F62023"/>
    <w:rsid w:val="00F63109"/>
    <w:rsid w:val="00F636AC"/>
    <w:rsid w:val="00F638D7"/>
    <w:rsid w:val="00F6396C"/>
    <w:rsid w:val="00F63FF6"/>
    <w:rsid w:val="00F6521D"/>
    <w:rsid w:val="00F65383"/>
    <w:rsid w:val="00F664E0"/>
    <w:rsid w:val="00F66CBD"/>
    <w:rsid w:val="00F6718A"/>
    <w:rsid w:val="00F710E8"/>
    <w:rsid w:val="00F72B63"/>
    <w:rsid w:val="00F74FC6"/>
    <w:rsid w:val="00F76466"/>
    <w:rsid w:val="00F7721F"/>
    <w:rsid w:val="00F7773B"/>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B19B0"/>
    <w:rsid w:val="00FB1FA0"/>
    <w:rsid w:val="00FB23FD"/>
    <w:rsid w:val="00FB256B"/>
    <w:rsid w:val="00FB3E17"/>
    <w:rsid w:val="00FB460F"/>
    <w:rsid w:val="00FB5D5F"/>
    <w:rsid w:val="00FB7E30"/>
    <w:rsid w:val="00FC0D96"/>
    <w:rsid w:val="00FC17F3"/>
    <w:rsid w:val="00FC2023"/>
    <w:rsid w:val="00FC3731"/>
    <w:rsid w:val="00FC3813"/>
    <w:rsid w:val="00FC3C1E"/>
    <w:rsid w:val="00FC3FFC"/>
    <w:rsid w:val="00FC4FE8"/>
    <w:rsid w:val="00FC5152"/>
    <w:rsid w:val="00FC618A"/>
    <w:rsid w:val="00FD181E"/>
    <w:rsid w:val="00FD3803"/>
    <w:rsid w:val="00FD430E"/>
    <w:rsid w:val="00FD59B2"/>
    <w:rsid w:val="00FD65B5"/>
    <w:rsid w:val="00FE1468"/>
    <w:rsid w:val="00FE159F"/>
    <w:rsid w:val="00FE1B4B"/>
    <w:rsid w:val="00FE29B5"/>
    <w:rsid w:val="00FE315A"/>
    <w:rsid w:val="00FE49D0"/>
    <w:rsid w:val="00FE543A"/>
    <w:rsid w:val="00FE73F0"/>
    <w:rsid w:val="00FE7DB0"/>
    <w:rsid w:val="00FF1FA3"/>
    <w:rsid w:val="00FF209C"/>
    <w:rsid w:val="00FF252E"/>
    <w:rsid w:val="00FF4D04"/>
    <w:rsid w:val="00FF51F2"/>
    <w:rsid w:val="00FF56EE"/>
    <w:rsid w:val="00FF59F5"/>
    <w:rsid w:val="00FF6632"/>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C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3F718B"/>
    <w:rPr>
      <w:rFonts w:ascii="Arial" w:hAnsi="Arial" w:cs="Arial"/>
    </w:rPr>
  </w:style>
  <w:style w:type="paragraph" w:customStyle="1" w:styleId="Doc-text2">
    <w:name w:val="Doc-text2"/>
    <w:basedOn w:val="Normal"/>
    <w:link w:val="Doc-text2Char"/>
    <w:rsid w:val="003F718B"/>
    <w:pPr>
      <w:autoSpaceDE/>
      <w:autoSpaceDN/>
      <w:adjustRightInd/>
      <w:snapToGrid/>
      <w:spacing w:after="0"/>
      <w:ind w:left="1622" w:hanging="363"/>
      <w:jc w:val="left"/>
    </w:pPr>
    <w:rPr>
      <w:rFonts w:ascii="Arial" w:hAnsi="Arial" w:cs="Arial"/>
    </w:rPr>
  </w:style>
  <w:style w:type="character" w:styleId="IntenseEmphasis">
    <w:name w:val="Intense Emphasis"/>
    <w:basedOn w:val="DefaultParagraphFont"/>
    <w:uiPriority w:val="21"/>
    <w:qFormat/>
    <w:rsid w:val="004166C7"/>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23216853">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5110073">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19771756">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2065998">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86538160">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8856845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1279325">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1882943">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72456170">
      <w:bodyDiv w:val="1"/>
      <w:marLeft w:val="0"/>
      <w:marRight w:val="0"/>
      <w:marTop w:val="0"/>
      <w:marBottom w:val="0"/>
      <w:divBdr>
        <w:top w:val="none" w:sz="0" w:space="0" w:color="auto"/>
        <w:left w:val="none" w:sz="0" w:space="0" w:color="auto"/>
        <w:bottom w:val="none" w:sz="0" w:space="0" w:color="auto"/>
        <w:right w:val="none" w:sz="0" w:space="0" w:color="auto"/>
      </w:divBdr>
    </w:div>
    <w:div w:id="1888253354">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4938537">
      <w:bodyDiv w:val="1"/>
      <w:marLeft w:val="0"/>
      <w:marRight w:val="0"/>
      <w:marTop w:val="0"/>
      <w:marBottom w:val="0"/>
      <w:divBdr>
        <w:top w:val="none" w:sz="0" w:space="0" w:color="auto"/>
        <w:left w:val="none" w:sz="0" w:space="0" w:color="auto"/>
        <w:bottom w:val="none" w:sz="0" w:space="0" w:color="auto"/>
        <w:right w:val="none" w:sz="0" w:space="0" w:color="auto"/>
      </w:divBdr>
    </w:div>
    <w:div w:id="2046178464">
      <w:bodyDiv w:val="1"/>
      <w:marLeft w:val="0"/>
      <w:marRight w:val="0"/>
      <w:marTop w:val="0"/>
      <w:marBottom w:val="0"/>
      <w:divBdr>
        <w:top w:val="none" w:sz="0" w:space="0" w:color="auto"/>
        <w:left w:val="none" w:sz="0" w:space="0" w:color="auto"/>
        <w:bottom w:val="none" w:sz="0" w:space="0" w:color="auto"/>
        <w:right w:val="none" w:sz="0" w:space="0" w:color="auto"/>
      </w:divBdr>
    </w:div>
    <w:div w:id="2052414809">
      <w:bodyDiv w:val="1"/>
      <w:marLeft w:val="0"/>
      <w:marRight w:val="0"/>
      <w:marTop w:val="0"/>
      <w:marBottom w:val="0"/>
      <w:divBdr>
        <w:top w:val="none" w:sz="0" w:space="0" w:color="auto"/>
        <w:left w:val="none" w:sz="0" w:space="0" w:color="auto"/>
        <w:bottom w:val="none" w:sz="0" w:space="0" w:color="auto"/>
        <w:right w:val="none" w:sz="0" w:space="0" w:color="auto"/>
      </w:divBdr>
    </w:div>
    <w:div w:id="2084136151">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66B597FB-A121-4AD0-B1A0-08BB0B5B0A13}">
  <ds:schemaRefs>
    <ds:schemaRef ds:uri="http://schemas.openxmlformats.org/officeDocument/2006/bibliography"/>
  </ds:schemaRefs>
</ds:datastoreItem>
</file>

<file path=customXml/itemProps3.xml><?xml version="1.0" encoding="utf-8"?>
<ds:datastoreItem xmlns:ds="http://schemas.openxmlformats.org/officeDocument/2006/customXml" ds:itemID="{51FE209D-AD18-478A-B95C-7DD0FB36E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9</Pages>
  <Words>2303</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324</cp:revision>
  <dcterms:created xsi:type="dcterms:W3CDTF">2021-01-19T00:45:00Z</dcterms:created>
  <dcterms:modified xsi:type="dcterms:W3CDTF">2021-10-02T05:55:00Z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